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AA8" w:rsidRDefault="00935AA8" w:rsidP="00935AA8">
      <w:pPr>
        <w:spacing w:line="240" w:lineRule="auto"/>
        <w:rPr>
          <w:b/>
          <w:color w:val="C90081" w:themeColor="accent3"/>
        </w:rPr>
      </w:pPr>
      <w:bookmarkStart w:id="0" w:name="_GoBack"/>
      <w:bookmarkEnd w:id="0"/>
      <w:r w:rsidRPr="0011229C">
        <w:rPr>
          <w:b/>
          <w:noProof/>
          <w:color w:val="C90081" w:themeColor="accent3"/>
          <w:lang w:eastAsia="fr-FR"/>
        </w:rPr>
        <w:drawing>
          <wp:anchor distT="0" distB="0" distL="114300" distR="114300" simplePos="0" relativeHeight="251659264" behindDoc="0" locked="0" layoutInCell="1" allowOverlap="1">
            <wp:simplePos x="0" y="0"/>
            <wp:positionH relativeFrom="column">
              <wp:posOffset>-204470</wp:posOffset>
            </wp:positionH>
            <wp:positionV relativeFrom="paragraph">
              <wp:posOffset>-604520</wp:posOffset>
            </wp:positionV>
            <wp:extent cx="1495425" cy="581025"/>
            <wp:effectExtent l="19050" t="0" r="9525" b="0"/>
            <wp:wrapThrough wrapText="bothSides">
              <wp:wrapPolygon edited="0">
                <wp:start x="-275" y="0"/>
                <wp:lineTo x="-275" y="21246"/>
                <wp:lineTo x="21738" y="21246"/>
                <wp:lineTo x="21738" y="0"/>
                <wp:lineTo x="-275" y="0"/>
              </wp:wrapPolygon>
            </wp:wrapThrough>
            <wp:docPr id="1" name="Image 1" descr="C:\Users\unccas\AppData\Local\Microsoft\Windows\Temporary Internet Files\Content.Outlook\5JGV0OR0\Nouveau logo UNCCAS 2015_CMJ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ccas\AppData\Local\Microsoft\Windows\Temporary Internet Files\Content.Outlook\5JGV0OR0\Nouveau logo UNCCAS 2015_CMJN.tif"/>
                    <pic:cNvPicPr>
                      <a:picLocks noChangeAspect="1" noChangeArrowheads="1"/>
                    </pic:cNvPicPr>
                  </pic:nvPicPr>
                  <pic:blipFill>
                    <a:blip r:embed="rId6" cstate="print"/>
                    <a:srcRect/>
                    <a:stretch>
                      <a:fillRect/>
                    </a:stretch>
                  </pic:blipFill>
                  <pic:spPr bwMode="auto">
                    <a:xfrm>
                      <a:off x="0" y="0"/>
                      <a:ext cx="1495425" cy="581025"/>
                    </a:xfrm>
                    <a:prstGeom prst="rect">
                      <a:avLst/>
                    </a:prstGeom>
                    <a:noFill/>
                    <a:ln w="9525">
                      <a:noFill/>
                      <a:miter lim="800000"/>
                      <a:headEnd/>
                      <a:tailEnd/>
                    </a:ln>
                  </pic:spPr>
                </pic:pic>
              </a:graphicData>
            </a:graphic>
          </wp:anchor>
        </w:drawing>
      </w:r>
    </w:p>
    <w:p w:rsidR="00935AA8" w:rsidRPr="009562D3" w:rsidRDefault="00935AA8" w:rsidP="00935AA8">
      <w:pPr>
        <w:spacing w:line="240" w:lineRule="auto"/>
        <w:rPr>
          <w:b/>
        </w:rPr>
      </w:pPr>
      <w:r w:rsidRPr="009562D3">
        <w:rPr>
          <w:b/>
        </w:rPr>
        <w:t xml:space="preserve">Politiques sociales : </w:t>
      </w:r>
      <w:r w:rsidRPr="009562D3">
        <w:t>Accès aux droits, Domiciliation</w:t>
      </w:r>
    </w:p>
    <w:p w:rsidR="00935AA8" w:rsidRPr="009562D3" w:rsidRDefault="00935AA8" w:rsidP="00935AA8">
      <w:pPr>
        <w:spacing w:line="240" w:lineRule="auto"/>
        <w:rPr>
          <w:b/>
        </w:rPr>
      </w:pPr>
      <w:r w:rsidRPr="009562D3">
        <w:rPr>
          <w:b/>
        </w:rPr>
        <w:t xml:space="preserve">Date de création : </w:t>
      </w:r>
      <w:r w:rsidRPr="009562D3">
        <w:t>19 / 09 / 2016</w:t>
      </w:r>
    </w:p>
    <w:p w:rsidR="00935AA8" w:rsidRPr="009562D3" w:rsidRDefault="00935AA8" w:rsidP="00935AA8">
      <w:pPr>
        <w:spacing w:line="240" w:lineRule="auto"/>
        <w:rPr>
          <w:b/>
        </w:rPr>
      </w:pPr>
    </w:p>
    <w:p w:rsidR="00935AA8" w:rsidRDefault="00935AA8" w:rsidP="00935AA8">
      <w:pPr>
        <w:spacing w:line="240" w:lineRule="auto"/>
        <w:rPr>
          <w:b/>
          <w:color w:val="C90081" w:themeColor="accent3"/>
        </w:rPr>
      </w:pPr>
      <w:r>
        <w:rPr>
          <w:b/>
          <w:color w:val="C90081" w:themeColor="accent3"/>
        </w:rPr>
        <w:t xml:space="preserve"> </w:t>
      </w:r>
    </w:p>
    <w:p w:rsidR="00935AA8" w:rsidRPr="0011229C" w:rsidRDefault="00935AA8" w:rsidP="00935AA8">
      <w:pPr>
        <w:pBdr>
          <w:top w:val="single" w:sz="4" w:space="1" w:color="C90081" w:themeColor="accent3"/>
          <w:left w:val="single" w:sz="4" w:space="4" w:color="C90081" w:themeColor="accent3"/>
          <w:bottom w:val="single" w:sz="4" w:space="1" w:color="C90081" w:themeColor="accent3"/>
          <w:right w:val="single" w:sz="4" w:space="4" w:color="C90081" w:themeColor="accent3"/>
        </w:pBdr>
        <w:spacing w:line="240" w:lineRule="auto"/>
        <w:jc w:val="center"/>
        <w:rPr>
          <w:color w:val="C90081" w:themeColor="accent3"/>
        </w:rPr>
      </w:pPr>
      <w:r w:rsidRPr="0011229C">
        <w:rPr>
          <w:color w:val="C90081" w:themeColor="accent3"/>
        </w:rPr>
        <w:t xml:space="preserve">Fiche pratique Domiciliation </w:t>
      </w:r>
      <w:r>
        <w:rPr>
          <w:color w:val="C90081" w:themeColor="accent3"/>
        </w:rPr>
        <w:t>:</w:t>
      </w:r>
    </w:p>
    <w:p w:rsidR="00935AA8" w:rsidRPr="0011229C" w:rsidRDefault="00935AA8" w:rsidP="00935AA8">
      <w:pPr>
        <w:pBdr>
          <w:top w:val="single" w:sz="4" w:space="1" w:color="C90081" w:themeColor="accent3"/>
          <w:left w:val="single" w:sz="4" w:space="4" w:color="C90081" w:themeColor="accent3"/>
          <w:bottom w:val="single" w:sz="4" w:space="1" w:color="C90081" w:themeColor="accent3"/>
          <w:right w:val="single" w:sz="4" w:space="4" w:color="C90081" w:themeColor="accent3"/>
        </w:pBdr>
        <w:spacing w:line="240" w:lineRule="auto"/>
        <w:jc w:val="center"/>
        <w:rPr>
          <w:b/>
          <w:color w:val="C90081" w:themeColor="accent3"/>
        </w:rPr>
      </w:pPr>
      <w:r>
        <w:rPr>
          <w:b/>
          <w:color w:val="C90081" w:themeColor="accent3"/>
        </w:rPr>
        <w:t xml:space="preserve">La domiciliation des personnes </w:t>
      </w:r>
      <w:proofErr w:type="spellStart"/>
      <w:r>
        <w:rPr>
          <w:b/>
          <w:color w:val="C90081" w:themeColor="accent3"/>
        </w:rPr>
        <w:t>sous main</w:t>
      </w:r>
      <w:proofErr w:type="spellEnd"/>
      <w:r>
        <w:rPr>
          <w:b/>
          <w:color w:val="C90081" w:themeColor="accent3"/>
        </w:rPr>
        <w:t xml:space="preserve"> de justice</w:t>
      </w:r>
    </w:p>
    <w:p w:rsidR="00FB1EEC" w:rsidRDefault="00FB1EEC" w:rsidP="00FB1EEC"/>
    <w:p w:rsidR="00935AA8" w:rsidRDefault="00935AA8" w:rsidP="00FB1EEC"/>
    <w:p w:rsidR="00E661A4" w:rsidRDefault="00E661A4" w:rsidP="00E661A4">
      <w:pPr>
        <w:jc w:val="both"/>
      </w:pPr>
      <w:r>
        <w:t xml:space="preserve">Les personnes </w:t>
      </w:r>
      <w:proofErr w:type="spellStart"/>
      <w:r>
        <w:t>sous main</w:t>
      </w:r>
      <w:proofErr w:type="spellEnd"/>
      <w:r>
        <w:t xml:space="preserve"> de justice peuvent être soit domiciliée</w:t>
      </w:r>
      <w:r w:rsidR="00E644AB">
        <w:t>s</w:t>
      </w:r>
      <w:r>
        <w:t xml:space="preserve"> dans le cadre du droit commun par un organisme agréé ou un CCAS/CIAS, soit</w:t>
      </w:r>
      <w:r w:rsidR="00521C8D">
        <w:t xml:space="preserve"> domiciliées</w:t>
      </w:r>
      <w:r>
        <w:t xml:space="preserve"> par l'établissement pénitentiaire dans lequel ils sont incarcérés.</w:t>
      </w:r>
    </w:p>
    <w:p w:rsidR="00935AA8" w:rsidRDefault="00935AA8" w:rsidP="00FB1EEC"/>
    <w:p w:rsidR="00E661A4" w:rsidRDefault="00935AA8" w:rsidP="00E661A4">
      <w:pPr>
        <w:rPr>
          <w:b/>
          <w:color w:val="C90081" w:themeColor="accent3"/>
        </w:rPr>
      </w:pPr>
      <w:r w:rsidRPr="00935AA8">
        <w:rPr>
          <w:b/>
          <w:color w:val="C90081" w:themeColor="accent3"/>
        </w:rPr>
        <w:t>Comment les personnes détenues peuvent-elles être domiciliées ?</w:t>
      </w:r>
    </w:p>
    <w:p w:rsidR="00E661A4" w:rsidRPr="00E661A4" w:rsidRDefault="00E661A4" w:rsidP="00D70A9E">
      <w:pPr>
        <w:jc w:val="both"/>
        <w:rPr>
          <w:b/>
          <w:color w:val="C90081" w:themeColor="accent3"/>
        </w:rPr>
      </w:pPr>
      <w:r>
        <w:t>L</w:t>
      </w:r>
      <w:r w:rsidRPr="00E661A4">
        <w:t xml:space="preserve">es personnes </w:t>
      </w:r>
      <w:proofErr w:type="spellStart"/>
      <w:r w:rsidR="00521C8D">
        <w:t>sous main</w:t>
      </w:r>
      <w:proofErr w:type="spellEnd"/>
      <w:r w:rsidR="00521C8D">
        <w:t xml:space="preserve"> de justice peuvent</w:t>
      </w:r>
      <w:r w:rsidR="00521C8D" w:rsidRPr="00E661A4">
        <w:t xml:space="preserve"> </w:t>
      </w:r>
      <w:r w:rsidRPr="00E661A4">
        <w:t>élire domicile auprès de l'établissement pénitentiaire</w:t>
      </w:r>
      <w:r w:rsidR="00521C8D">
        <w:t xml:space="preserve"> dans lequel elles sont détenues</w:t>
      </w:r>
      <w:r w:rsidRPr="00E661A4">
        <w:t xml:space="preserve"> : </w:t>
      </w:r>
    </w:p>
    <w:p w:rsidR="00E661A4" w:rsidRPr="00E661A4" w:rsidRDefault="00E661A4" w:rsidP="00E661A4">
      <w:pPr>
        <w:pStyle w:val="Paragraphedeliste"/>
        <w:numPr>
          <w:ilvl w:val="0"/>
          <w:numId w:val="7"/>
        </w:numPr>
      </w:pPr>
      <w:proofErr w:type="gramStart"/>
      <w:r>
        <w:t>p</w:t>
      </w:r>
      <w:r w:rsidRPr="00E661A4">
        <w:t>our</w:t>
      </w:r>
      <w:proofErr w:type="gramEnd"/>
      <w:r w:rsidRPr="00E661A4">
        <w:t xml:space="preserve"> l'exercice de leurs droits civiques, lorsqu'elles ne dispos</w:t>
      </w:r>
      <w:r>
        <w:t>ent pas d'un domicile personnel</w:t>
      </w:r>
      <w:r w:rsidRPr="00E661A4">
        <w:t xml:space="preserve">; </w:t>
      </w:r>
    </w:p>
    <w:p w:rsidR="00E661A4" w:rsidRPr="00E661A4" w:rsidRDefault="00E661A4" w:rsidP="00E661A4">
      <w:pPr>
        <w:pStyle w:val="Paragraphedeliste"/>
        <w:numPr>
          <w:ilvl w:val="0"/>
          <w:numId w:val="7"/>
        </w:numPr>
      </w:pPr>
      <w:r>
        <w:t>p</w:t>
      </w:r>
      <w:r w:rsidRPr="00E661A4">
        <w:t xml:space="preserve">our prétendre au bénéfice des droits mentionnés aux articles </w:t>
      </w:r>
      <w:hyperlink r:id="rId7" w:history="1">
        <w:r w:rsidRPr="00E661A4">
          <w:rPr>
            <w:rStyle w:val="Lienhypertexte"/>
          </w:rPr>
          <w:t xml:space="preserve">L. 121-1 </w:t>
        </w:r>
      </w:hyperlink>
      <w:r w:rsidRPr="00E661A4">
        <w:t xml:space="preserve">et </w:t>
      </w:r>
      <w:hyperlink r:id="rId8" w:history="1">
        <w:r w:rsidRPr="00E661A4">
          <w:rPr>
            <w:rStyle w:val="Lienhypertexte"/>
          </w:rPr>
          <w:t>L. 264-1</w:t>
        </w:r>
      </w:hyperlink>
      <w:r w:rsidRPr="00E661A4">
        <w:t xml:space="preserve"> du code de l'action sociale et des familles, lorsqu'elles ne disposent pas d'un domicile de secours ou d'un domicile personnel au moment de leur incarcération ou ne peuvent en justifier ; </w:t>
      </w:r>
    </w:p>
    <w:p w:rsidR="00E661A4" w:rsidRDefault="00E661A4" w:rsidP="00E661A4">
      <w:pPr>
        <w:pStyle w:val="Paragraphedeliste"/>
        <w:numPr>
          <w:ilvl w:val="0"/>
          <w:numId w:val="7"/>
        </w:numPr>
      </w:pPr>
      <w:proofErr w:type="gramStart"/>
      <w:r>
        <w:t>p</w:t>
      </w:r>
      <w:r w:rsidRPr="00E661A4">
        <w:t>our</w:t>
      </w:r>
      <w:proofErr w:type="gramEnd"/>
      <w:r w:rsidRPr="00E661A4">
        <w:t xml:space="preserve"> faciliter leurs démarches administratives. </w:t>
      </w:r>
    </w:p>
    <w:p w:rsidR="00E661A4" w:rsidRDefault="00E661A4" w:rsidP="00521C8D"/>
    <w:p w:rsidR="00521C8D" w:rsidRPr="00B8213C" w:rsidRDefault="00521C8D" w:rsidP="00521C8D">
      <w:pPr>
        <w:jc w:val="both"/>
      </w:pPr>
      <w:r>
        <w:t>En application de l’</w:t>
      </w:r>
      <w:hyperlink r:id="rId9" w:tooltip="https://www.legifrance.gouv.fr/affichTexteArticle.do;jsessionid=43C1196CE143470A6C8ADB1EF2E8599C.tpdila07v_2?idArticle=LEGIARTI000029370866&amp;cidTexte=JORFTEXT000021312171&amp;categorieLien=id&amp;dateTexte= (nouvelle fenêtre)" w:history="1">
        <w:r>
          <w:rPr>
            <w:rStyle w:val="Lienhypertexte"/>
          </w:rPr>
          <w:t>article 30 de la loi du 24 novembre 2009 modifié par l’article 31 de la loi du 15 août 2014</w:t>
        </w:r>
      </w:hyperlink>
      <w:r>
        <w:t xml:space="preserve">, les personnes détenues qui le souhaitent peuvent également élire domicile auprès d’un CCAS ou d’un organisme agréé pour faciliter leurs démarches de préparation à la sortie. </w:t>
      </w:r>
      <w:r w:rsidRPr="00B8213C">
        <w:t>L’instruction du 10 juin 2016 encourage la domiciliation de droit commun pour les personnes détenues, jugée moins stigmatisante que la domiciliation en établissement pénitentiaire.</w:t>
      </w:r>
    </w:p>
    <w:p w:rsidR="00521C8D" w:rsidRDefault="00521C8D" w:rsidP="00D70A9E"/>
    <w:p w:rsidR="00E661A4" w:rsidRPr="00D70A9E" w:rsidRDefault="00E661A4" w:rsidP="00E661A4">
      <w:pPr>
        <w:jc w:val="both"/>
        <w:rPr>
          <w:b/>
        </w:rPr>
      </w:pPr>
      <w:r w:rsidRPr="00D70A9E">
        <w:rPr>
          <w:b/>
        </w:rPr>
        <w:t>.</w:t>
      </w:r>
    </w:p>
    <w:p w:rsidR="00AF6900" w:rsidRDefault="00AF6900" w:rsidP="00E661A4">
      <w:pPr>
        <w:jc w:val="both"/>
      </w:pPr>
    </w:p>
    <w:p w:rsidR="00AF6900" w:rsidRDefault="00AF6900" w:rsidP="00AF6900">
      <w:pPr>
        <w:jc w:val="both"/>
      </w:pPr>
      <w:r>
        <w:t>Les CCAS doivent</w:t>
      </w:r>
      <w:r w:rsidR="00521C8D">
        <w:t xml:space="preserve"> donc</w:t>
      </w:r>
      <w:r>
        <w:t xml:space="preserve"> domicilier une personne sous-main de justice dès lors que :</w:t>
      </w:r>
    </w:p>
    <w:p w:rsidR="00AF6900" w:rsidRDefault="00AF6900" w:rsidP="00AF6900">
      <w:pPr>
        <w:jc w:val="both"/>
      </w:pPr>
    </w:p>
    <w:p w:rsidR="00AF6900" w:rsidRDefault="00AF6900" w:rsidP="00D70A9E">
      <w:pPr>
        <w:pStyle w:val="Paragraphedeliste"/>
        <w:numPr>
          <w:ilvl w:val="0"/>
          <w:numId w:val="10"/>
        </w:numPr>
        <w:jc w:val="both"/>
      </w:pPr>
      <w:r>
        <w:t xml:space="preserve">La personne concernée le souhaite : les personnes détenues peuvent préférer recevoir leur </w:t>
      </w:r>
      <w:proofErr w:type="gramStart"/>
      <w:r>
        <w:t>courrier</w:t>
      </w:r>
      <w:proofErr w:type="gramEnd"/>
      <w:r>
        <w:t xml:space="preserve"> au sein de l’établissement pénitentiaire ou chez leurs proches</w:t>
      </w:r>
      <w:r w:rsidR="00521C8D">
        <w:t>.</w:t>
      </w:r>
    </w:p>
    <w:p w:rsidR="00AF6900" w:rsidRDefault="00AF6900" w:rsidP="00D70A9E">
      <w:pPr>
        <w:pStyle w:val="Paragraphedeliste"/>
        <w:numPr>
          <w:ilvl w:val="0"/>
          <w:numId w:val="10"/>
        </w:numPr>
        <w:jc w:val="both"/>
      </w:pPr>
      <w:r>
        <w:t xml:space="preserve">La personne concernée a besoin d’une adresse pour faciliter ses démarches de sortie : elle </w:t>
      </w:r>
      <w:proofErr w:type="gramStart"/>
      <w:r>
        <w:t>doit</w:t>
      </w:r>
      <w:proofErr w:type="gramEnd"/>
      <w:r>
        <w:t xml:space="preserve"> donc justifier souhaiter être domiciliée au </w:t>
      </w:r>
      <w:r w:rsidR="008F2118">
        <w:t xml:space="preserve">sein d’un </w:t>
      </w:r>
      <w:r>
        <w:t>CCAS pour ses démarches de recherche d’emploi ou de logement.</w:t>
      </w:r>
    </w:p>
    <w:p w:rsidR="00AF6900" w:rsidRDefault="00AF6900" w:rsidP="00E074B9">
      <w:pPr>
        <w:pStyle w:val="Paragraphedeliste"/>
        <w:numPr>
          <w:ilvl w:val="0"/>
          <w:numId w:val="10"/>
        </w:numPr>
        <w:jc w:val="both"/>
      </w:pPr>
      <w:r>
        <w:t xml:space="preserve">La personne concernée souhaite s’installer à sa sortie de détention dans la commune où elle veut élire domicilie : il ne s’agit donc pas nécessairement de la commune où est implantée l’établissement pénitentiaire ! </w:t>
      </w:r>
    </w:p>
    <w:p w:rsidR="00935AA8" w:rsidRDefault="00935AA8" w:rsidP="00FB1EEC"/>
    <w:p w:rsidR="00E661A4" w:rsidRDefault="00E661A4" w:rsidP="00FB1EEC">
      <w:r w:rsidRPr="00935AA8">
        <w:rPr>
          <w:b/>
          <w:color w:val="C90081" w:themeColor="accent3"/>
        </w:rPr>
        <w:t xml:space="preserve">Comment les personnes détenues peuvent-elles </w:t>
      </w:r>
      <w:r>
        <w:rPr>
          <w:b/>
          <w:color w:val="C90081" w:themeColor="accent3"/>
        </w:rPr>
        <w:t>justifier d'un lien avec la commune</w:t>
      </w:r>
      <w:r w:rsidR="00AF6900">
        <w:rPr>
          <w:b/>
          <w:color w:val="C90081" w:themeColor="accent3"/>
        </w:rPr>
        <w:t xml:space="preserve"> </w:t>
      </w:r>
      <w:r w:rsidRPr="00935AA8">
        <w:rPr>
          <w:b/>
          <w:color w:val="C90081" w:themeColor="accent3"/>
        </w:rPr>
        <w:t>?</w:t>
      </w:r>
    </w:p>
    <w:p w:rsidR="00E661A4" w:rsidRDefault="00E661A4" w:rsidP="00FB1EEC"/>
    <w:p w:rsidR="00935AA8" w:rsidRPr="00935AA8" w:rsidRDefault="00E661A4" w:rsidP="001E02AF">
      <w:pPr>
        <w:jc w:val="both"/>
        <w:rPr>
          <w:rFonts w:ascii="Arial" w:eastAsiaTheme="minorHAnsi" w:hAnsi="Arial" w:cs="Arial"/>
          <w:b/>
          <w:bCs/>
          <w:szCs w:val="20"/>
        </w:rPr>
      </w:pPr>
      <w:r>
        <w:t>Les personnes détenues peuvent justifier de leur lien avec la commune selon les mêmes conditions que tout demandeur</w:t>
      </w:r>
      <w:r w:rsidR="00B37647">
        <w:t xml:space="preserve"> d’une élection de domicile</w:t>
      </w:r>
      <w:r>
        <w:t xml:space="preserve">. Par ailleurs, dans leur cas, </w:t>
      </w:r>
      <w:r w:rsidR="00B37647">
        <w:t xml:space="preserve">la loi du 15 aout 2014 a introduit un principe dérogatoire : </w:t>
      </w:r>
      <w:r w:rsidR="00B37647">
        <w:rPr>
          <w:rFonts w:ascii="Arial" w:eastAsiaTheme="minorHAnsi" w:hAnsi="Arial" w:cs="Arial"/>
          <w:b/>
          <w:bCs/>
          <w:szCs w:val="20"/>
        </w:rPr>
        <w:t xml:space="preserve"> le</w:t>
      </w:r>
      <w:r w:rsidR="00935AA8">
        <w:rPr>
          <w:rFonts w:ascii="Arial" w:eastAsiaTheme="minorHAnsi" w:hAnsi="Arial" w:cs="Arial"/>
          <w:b/>
          <w:bCs/>
          <w:szCs w:val="20"/>
        </w:rPr>
        <w:t xml:space="preserve"> lien</w:t>
      </w:r>
      <w:r w:rsidR="00B37647">
        <w:rPr>
          <w:rFonts w:ascii="Arial" w:eastAsiaTheme="minorHAnsi" w:hAnsi="Arial" w:cs="Arial"/>
          <w:b/>
          <w:bCs/>
          <w:szCs w:val="20"/>
        </w:rPr>
        <w:t xml:space="preserve"> avec la commune</w:t>
      </w:r>
      <w:r w:rsidR="00935AA8">
        <w:rPr>
          <w:rFonts w:ascii="Arial" w:eastAsiaTheme="minorHAnsi" w:hAnsi="Arial" w:cs="Arial"/>
          <w:b/>
          <w:bCs/>
          <w:szCs w:val="20"/>
        </w:rPr>
        <w:t xml:space="preserve"> peut</w:t>
      </w:r>
      <w:r w:rsidR="00B37647">
        <w:rPr>
          <w:rFonts w:ascii="Arial" w:eastAsiaTheme="minorHAnsi" w:hAnsi="Arial" w:cs="Arial"/>
          <w:b/>
          <w:bCs/>
          <w:szCs w:val="20"/>
        </w:rPr>
        <w:t xml:space="preserve"> également</w:t>
      </w:r>
      <w:r w:rsidR="00935AA8">
        <w:rPr>
          <w:rFonts w:ascii="Arial" w:eastAsiaTheme="minorHAnsi" w:hAnsi="Arial" w:cs="Arial"/>
          <w:b/>
          <w:bCs/>
          <w:szCs w:val="20"/>
        </w:rPr>
        <w:t xml:space="preserve"> être établi par la recherche d’une activité en vue de </w:t>
      </w:r>
      <w:r w:rsidR="00B37647">
        <w:rPr>
          <w:rFonts w:ascii="Arial" w:eastAsiaTheme="minorHAnsi" w:hAnsi="Arial" w:cs="Arial"/>
          <w:b/>
          <w:bCs/>
          <w:szCs w:val="20"/>
        </w:rPr>
        <w:t xml:space="preserve">leur </w:t>
      </w:r>
      <w:r w:rsidR="00935AA8">
        <w:rPr>
          <w:rFonts w:ascii="Arial" w:eastAsiaTheme="minorHAnsi" w:hAnsi="Arial" w:cs="Arial"/>
          <w:b/>
          <w:bCs/>
          <w:szCs w:val="20"/>
        </w:rPr>
        <w:t>insertion ou par la proximité avec un établissement de santé ou médico-social susceptible de l</w:t>
      </w:r>
      <w:r w:rsidR="00B37647">
        <w:rPr>
          <w:rFonts w:ascii="Arial" w:eastAsiaTheme="minorHAnsi" w:hAnsi="Arial" w:cs="Arial"/>
          <w:b/>
          <w:bCs/>
          <w:szCs w:val="20"/>
        </w:rPr>
        <w:t xml:space="preserve">es </w:t>
      </w:r>
      <w:r w:rsidR="00935AA8">
        <w:rPr>
          <w:rFonts w:ascii="Arial" w:eastAsiaTheme="minorHAnsi" w:hAnsi="Arial" w:cs="Arial"/>
          <w:b/>
          <w:bCs/>
          <w:szCs w:val="20"/>
        </w:rPr>
        <w:t>accueillir.</w:t>
      </w:r>
    </w:p>
    <w:p w:rsidR="00935AA8" w:rsidRDefault="00935AA8" w:rsidP="00935AA8">
      <w:pPr>
        <w:jc w:val="both"/>
      </w:pPr>
    </w:p>
    <w:p w:rsidR="00935AA8" w:rsidRPr="00935AA8" w:rsidRDefault="00935AA8" w:rsidP="00935AA8">
      <w:pPr>
        <w:jc w:val="both"/>
        <w:rPr>
          <w:b/>
          <w:color w:val="C90081" w:themeColor="accent3"/>
        </w:rPr>
      </w:pPr>
      <w:r w:rsidRPr="00935AA8">
        <w:rPr>
          <w:b/>
          <w:color w:val="C90081" w:themeColor="accent3"/>
        </w:rPr>
        <w:t xml:space="preserve">Comment organiser les liens entre le CCAS et l'établissement </w:t>
      </w:r>
      <w:proofErr w:type="gramStart"/>
      <w:r w:rsidRPr="00935AA8">
        <w:rPr>
          <w:b/>
          <w:color w:val="C90081" w:themeColor="accent3"/>
        </w:rPr>
        <w:t>pénitentiaire?</w:t>
      </w:r>
      <w:proofErr w:type="gramEnd"/>
    </w:p>
    <w:p w:rsidR="00935AA8" w:rsidRDefault="00935AA8" w:rsidP="00935AA8">
      <w:pPr>
        <w:jc w:val="both"/>
      </w:pPr>
    </w:p>
    <w:p w:rsidR="001E02AF" w:rsidRDefault="009559DE" w:rsidP="001E02AF">
      <w:pPr>
        <w:autoSpaceDE w:val="0"/>
        <w:autoSpaceDN w:val="0"/>
        <w:adjustRightInd w:val="0"/>
        <w:spacing w:line="240" w:lineRule="auto"/>
        <w:jc w:val="both"/>
      </w:pPr>
      <w:r w:rsidRPr="009559DE">
        <w:lastRenderedPageBreak/>
        <w:t xml:space="preserve">La circulaire </w:t>
      </w:r>
      <w:r w:rsidR="00E661A4">
        <w:t xml:space="preserve">du 10 juin 2016 </w:t>
      </w:r>
      <w:r w:rsidRPr="009559DE">
        <w:t>indique que la domiciliation au sein d’un CCAS ou d’un organisme agréé doit être facilitée par la signature de conventions entre les organismes domiciliataires et les établissements pénitentiaires pour organiser, notamment, le suivi du courrier.</w:t>
      </w:r>
      <w:r w:rsidR="00935AA8">
        <w:t xml:space="preserve"> </w:t>
      </w:r>
    </w:p>
    <w:p w:rsidR="001E02AF" w:rsidRDefault="001E02AF" w:rsidP="001E02AF">
      <w:pPr>
        <w:autoSpaceDE w:val="0"/>
        <w:autoSpaceDN w:val="0"/>
        <w:adjustRightInd w:val="0"/>
        <w:spacing w:line="240" w:lineRule="auto"/>
        <w:jc w:val="both"/>
      </w:pPr>
    </w:p>
    <w:p w:rsidR="009559DE" w:rsidRPr="00AF6900" w:rsidRDefault="00935AA8" w:rsidP="001E02AF">
      <w:pPr>
        <w:autoSpaceDE w:val="0"/>
        <w:autoSpaceDN w:val="0"/>
        <w:adjustRightInd w:val="0"/>
        <w:spacing w:line="240" w:lineRule="auto"/>
        <w:jc w:val="both"/>
      </w:pPr>
      <w:r w:rsidRPr="00AF6900">
        <w:t>Pour ce faire, les directeurs fonctionnels des services pénitentiaires d’insertion et de probation (DFSPIP)</w:t>
      </w:r>
      <w:r w:rsidR="001E02AF" w:rsidRPr="00AF6900">
        <w:t xml:space="preserve"> </w:t>
      </w:r>
      <w:r w:rsidRPr="00AF6900">
        <w:t>doivent passer des conventions avec les CCAS afin de fixer les modalités</w:t>
      </w:r>
      <w:r w:rsidR="00E661A4" w:rsidRPr="00AF6900">
        <w:t xml:space="preserve"> </w:t>
      </w:r>
      <w:r w:rsidRPr="00AF6900">
        <w:t>d’intervention de ces partenaires et de valoriser leur action dans ce domaine.</w:t>
      </w:r>
      <w:r w:rsidR="00E661A4" w:rsidRPr="00AF6900">
        <w:t xml:space="preserve"> </w:t>
      </w:r>
      <w:r>
        <w:t>Ces conventions doivent organiser</w:t>
      </w:r>
      <w:r w:rsidR="00E661A4">
        <w:t xml:space="preserve"> à minima</w:t>
      </w:r>
      <w:r>
        <w:t xml:space="preserve"> :</w:t>
      </w:r>
    </w:p>
    <w:p w:rsidR="00E661A4" w:rsidRPr="00AF6900" w:rsidRDefault="00E661A4" w:rsidP="00AF6900">
      <w:pPr>
        <w:pStyle w:val="Paragraphedeliste"/>
        <w:numPr>
          <w:ilvl w:val="0"/>
          <w:numId w:val="9"/>
        </w:numPr>
        <w:autoSpaceDE w:val="0"/>
        <w:autoSpaceDN w:val="0"/>
        <w:adjustRightInd w:val="0"/>
        <w:spacing w:line="240" w:lineRule="auto"/>
        <w:jc w:val="both"/>
      </w:pPr>
      <w:proofErr w:type="gramStart"/>
      <w:r w:rsidRPr="00D70A9E">
        <w:rPr>
          <w:b/>
        </w:rPr>
        <w:t>le</w:t>
      </w:r>
      <w:proofErr w:type="gramEnd"/>
      <w:r w:rsidRPr="00D70A9E">
        <w:rPr>
          <w:b/>
        </w:rPr>
        <w:t xml:space="preserve"> public cible de la domiciliation de droit commun</w:t>
      </w:r>
      <w:r w:rsidRPr="00AF6900">
        <w:t xml:space="preserve"> :</w:t>
      </w:r>
      <w:r w:rsidR="00AF6900">
        <w:t xml:space="preserve"> en général,</w:t>
      </w:r>
      <w:r w:rsidRPr="00AF6900">
        <w:t xml:space="preserve"> </w:t>
      </w:r>
      <w:r w:rsidR="008F2118">
        <w:t>il s’agit d</w:t>
      </w:r>
      <w:r w:rsidR="00AF6900">
        <w:t xml:space="preserve">es personnes </w:t>
      </w:r>
      <w:proofErr w:type="spellStart"/>
      <w:r w:rsidR="00AF6900">
        <w:t>sous main</w:t>
      </w:r>
      <w:proofErr w:type="spellEnd"/>
      <w:r w:rsidR="00AF6900">
        <w:t xml:space="preserve"> de justice, en fin de peine, qui ont besoin d’une adresse pour préparer leurs démarches de préparation à la sortie sur le </w:t>
      </w:r>
      <w:r w:rsidR="008F2118">
        <w:t>territoire</w:t>
      </w:r>
      <w:r w:rsidR="00AF6900">
        <w:t xml:space="preserve"> du CCAS</w:t>
      </w:r>
    </w:p>
    <w:p w:rsidR="001E02AF" w:rsidRDefault="00AF6900" w:rsidP="00FB1EEC">
      <w:proofErr w:type="gramStart"/>
      <w:r>
        <w:t>une</w:t>
      </w:r>
      <w:proofErr w:type="gramEnd"/>
      <w:r>
        <w:t xml:space="preserve"> procédure de domiciliation et de gestion du courrier : en général, l’entretien préalable à la domiciliation est délégué au SPIP, le CCAS adresse le CERFA d’attestation de domiciliation de manière dématérialisée au SPIP, le courrier reçu au CCAS est récupéré par le SPIP dans les locaux du CCAS.</w:t>
      </w:r>
      <w:r w:rsidRPr="00AF6900" w:rsidDel="00AF6900">
        <w:t xml:space="preserve"> </w:t>
      </w:r>
    </w:p>
    <w:p w:rsidR="009559DE" w:rsidRDefault="009559DE" w:rsidP="00FB1EEC"/>
    <w:p w:rsidR="009559DE" w:rsidRPr="00D70A9E" w:rsidRDefault="00521C8D" w:rsidP="00FB1EEC">
      <w:pPr>
        <w:rPr>
          <w:b/>
          <w:color w:val="C90081" w:themeColor="accent3"/>
        </w:rPr>
      </w:pPr>
      <w:r w:rsidRPr="00D70A9E">
        <w:rPr>
          <w:b/>
          <w:color w:val="C90081" w:themeColor="accent3"/>
        </w:rPr>
        <w:t>Quid de la d</w:t>
      </w:r>
      <w:r w:rsidR="00AF6900" w:rsidRPr="00D70A9E">
        <w:rPr>
          <w:b/>
          <w:color w:val="C90081" w:themeColor="accent3"/>
        </w:rPr>
        <w:t xml:space="preserve">omiciliation des personnes en sortie de détention ? </w:t>
      </w:r>
    </w:p>
    <w:p w:rsidR="00FB1EEC" w:rsidRDefault="00FB1EEC" w:rsidP="00FB1EEC"/>
    <w:p w:rsidR="00AF6900" w:rsidRDefault="00AF6900" w:rsidP="00AF6900">
      <w:pPr>
        <w:jc w:val="both"/>
      </w:pPr>
      <w:r w:rsidRPr="00D70A9E">
        <w:rPr>
          <w:bCs/>
        </w:rPr>
        <w:t xml:space="preserve">Pour les personnes en sortie de détention, ce sont </w:t>
      </w:r>
      <w:r>
        <w:rPr>
          <w:bCs/>
        </w:rPr>
        <w:t>l</w:t>
      </w:r>
      <w:r w:rsidRPr="00D70A9E">
        <w:rPr>
          <w:bCs/>
        </w:rPr>
        <w:t>es règles de</w:t>
      </w:r>
      <w:r>
        <w:rPr>
          <w:bCs/>
        </w:rPr>
        <w:t xml:space="preserve"> domiciliation de</w:t>
      </w:r>
      <w:r w:rsidRPr="00D70A9E">
        <w:rPr>
          <w:bCs/>
        </w:rPr>
        <w:t xml:space="preserve"> droit commun qui s’appliquent</w:t>
      </w:r>
      <w:r w:rsidRPr="00AF6900">
        <w:rPr>
          <w:b/>
          <w:bCs/>
        </w:rPr>
        <w:t>.</w:t>
      </w:r>
      <w:r w:rsidRPr="00AF6900">
        <w:t xml:space="preserve"> Si la personne à la sortie de détention n’a pas de domicile stable et qu’elle présente un lien avec la commune, elle doit pouvoir </w:t>
      </w:r>
      <w:r>
        <w:t>élire domicile</w:t>
      </w:r>
      <w:r w:rsidRPr="00AF6900">
        <w:t xml:space="preserve"> au sein du CCAS. </w:t>
      </w:r>
      <w:r w:rsidRPr="00AF6900">
        <w:rPr>
          <w:b/>
          <w:bCs/>
        </w:rPr>
        <w:t>Le fait d’avoir été incarcérée sur la commune constitue de fait un lien avec la commune.</w:t>
      </w:r>
      <w:r w:rsidRPr="00AF6900">
        <w:t xml:space="preserve"> </w:t>
      </w:r>
    </w:p>
    <w:p w:rsidR="00AF6900" w:rsidRDefault="00AF6900">
      <w:pPr>
        <w:jc w:val="both"/>
      </w:pPr>
      <w:r w:rsidRPr="00AF6900">
        <w:br/>
        <w:t xml:space="preserve">Attention, </w:t>
      </w:r>
      <w:proofErr w:type="gramStart"/>
      <w:r w:rsidRPr="00AF6900">
        <w:t>par contre</w:t>
      </w:r>
      <w:proofErr w:type="gramEnd"/>
      <w:r w:rsidRPr="00AF6900">
        <w:t xml:space="preserve">, lors de l’entretien préalable à la domiciliation de s’assurer que la commune où se situe le CCAS, et donc l’établissement pénitentiaire, est bien la commune où la personne souhaite s’installer. Il faut évidemment, dans l’intérêt de la personne, </w:t>
      </w:r>
      <w:r w:rsidRPr="00AF6900">
        <w:rPr>
          <w:b/>
          <w:bCs/>
        </w:rPr>
        <w:t>favoriser une domiciliation dans le CCAS ou l’organisme agréé du territoire où souhaite s’installer la personne</w:t>
      </w:r>
      <w:r w:rsidRPr="00AF6900">
        <w:t xml:space="preserve"> (et non systématiquement sur le territoire où est placé l’établissement pénitentiaire.)</w:t>
      </w:r>
    </w:p>
    <w:p w:rsidR="00D00961" w:rsidRDefault="00D00961">
      <w:pPr>
        <w:jc w:val="both"/>
      </w:pPr>
    </w:p>
    <w:p w:rsidR="00D00961" w:rsidRDefault="00D00961" w:rsidP="00D00961">
      <w:pPr>
        <w:autoSpaceDE w:val="0"/>
        <w:autoSpaceDN w:val="0"/>
        <w:adjustRightInd w:val="0"/>
        <w:spacing w:line="240" w:lineRule="auto"/>
        <w:jc w:val="both"/>
        <w:rPr>
          <w:rFonts w:asciiTheme="majorHAnsi" w:eastAsiaTheme="minorHAnsi" w:hAnsiTheme="majorHAnsi" w:cstheme="majorHAnsi"/>
          <w:szCs w:val="20"/>
        </w:rPr>
      </w:pPr>
    </w:p>
    <w:p w:rsidR="00D00961" w:rsidRDefault="00D00961" w:rsidP="00D00961">
      <w:pPr>
        <w:autoSpaceDE w:val="0"/>
        <w:autoSpaceDN w:val="0"/>
        <w:adjustRightInd w:val="0"/>
        <w:spacing w:line="240" w:lineRule="auto"/>
        <w:jc w:val="both"/>
        <w:rPr>
          <w:rFonts w:asciiTheme="majorHAnsi" w:eastAsiaTheme="minorHAnsi" w:hAnsiTheme="majorHAnsi" w:cstheme="majorHAnsi"/>
          <w:szCs w:val="20"/>
          <w:highlight w:val="yellow"/>
        </w:rPr>
      </w:pPr>
      <w:r>
        <w:rPr>
          <w:rFonts w:asciiTheme="majorHAnsi" w:eastAsiaTheme="minorHAnsi" w:hAnsiTheme="majorHAnsi" w:cstheme="majorHAnsi"/>
          <w:szCs w:val="20"/>
        </w:rPr>
        <w:t xml:space="preserve">Pour aller plus loin : </w:t>
      </w:r>
      <w:r>
        <w:rPr>
          <w:rFonts w:asciiTheme="majorHAnsi" w:eastAsiaTheme="minorHAnsi" w:hAnsiTheme="majorHAnsi" w:cstheme="majorHAnsi"/>
          <w:szCs w:val="20"/>
          <w:highlight w:val="yellow"/>
        </w:rPr>
        <w:t>la « boite à outils » domiciliation de l’UNCCAS</w:t>
      </w:r>
    </w:p>
    <w:p w:rsidR="00D00961" w:rsidRPr="00FB1EEC" w:rsidRDefault="00D00961" w:rsidP="00D70A9E">
      <w:pPr>
        <w:jc w:val="both"/>
      </w:pPr>
    </w:p>
    <w:sectPr w:rsidR="00D00961" w:rsidRPr="00FB1EEC" w:rsidSect="00840F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242E3"/>
    <w:multiLevelType w:val="hybridMultilevel"/>
    <w:tmpl w:val="5C909642"/>
    <w:lvl w:ilvl="0" w:tplc="3958696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AF6A44"/>
    <w:multiLevelType w:val="hybridMultilevel"/>
    <w:tmpl w:val="14E28096"/>
    <w:lvl w:ilvl="0" w:tplc="3958696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9A3CDC"/>
    <w:multiLevelType w:val="hybridMultilevel"/>
    <w:tmpl w:val="140A3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BD0C60"/>
    <w:multiLevelType w:val="hybridMultilevel"/>
    <w:tmpl w:val="D46A8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434D0A"/>
    <w:multiLevelType w:val="multilevel"/>
    <w:tmpl w:val="58C6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337462"/>
    <w:multiLevelType w:val="multilevel"/>
    <w:tmpl w:val="6146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DC74D1"/>
    <w:multiLevelType w:val="hybridMultilevel"/>
    <w:tmpl w:val="105E5A6E"/>
    <w:lvl w:ilvl="0" w:tplc="6BD8D5C8">
      <w:numFmt w:val="bullet"/>
      <w:lvlText w:val="-"/>
      <w:lvlJc w:val="left"/>
      <w:pPr>
        <w:ind w:left="720" w:hanging="360"/>
      </w:pPr>
      <w:rPr>
        <w:rFonts w:ascii="Arial" w:eastAsiaTheme="minorEastAsia"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551B48"/>
    <w:multiLevelType w:val="multilevel"/>
    <w:tmpl w:val="A250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EE25B8"/>
    <w:multiLevelType w:val="hybridMultilevel"/>
    <w:tmpl w:val="7CFAF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D915A4"/>
    <w:multiLevelType w:val="hybridMultilevel"/>
    <w:tmpl w:val="841249A4"/>
    <w:lvl w:ilvl="0" w:tplc="64661576">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5"/>
  </w:num>
  <w:num w:numId="5">
    <w:abstractNumId w:val="2"/>
  </w:num>
  <w:num w:numId="6">
    <w:abstractNumId w:val="3"/>
  </w:num>
  <w:num w:numId="7">
    <w:abstractNumId w:val="0"/>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B1EEC"/>
    <w:rsid w:val="00017B99"/>
    <w:rsid w:val="00033F43"/>
    <w:rsid w:val="00034065"/>
    <w:rsid w:val="00054B0F"/>
    <w:rsid w:val="00062F9F"/>
    <w:rsid w:val="000C02F4"/>
    <w:rsid w:val="000E24E7"/>
    <w:rsid w:val="000E77D7"/>
    <w:rsid w:val="001438EF"/>
    <w:rsid w:val="001544BF"/>
    <w:rsid w:val="00195208"/>
    <w:rsid w:val="001A66D4"/>
    <w:rsid w:val="001E02AF"/>
    <w:rsid w:val="001E3B0D"/>
    <w:rsid w:val="001F578B"/>
    <w:rsid w:val="0020479D"/>
    <w:rsid w:val="002301BC"/>
    <w:rsid w:val="002309EB"/>
    <w:rsid w:val="00235B9F"/>
    <w:rsid w:val="00301E8E"/>
    <w:rsid w:val="003463E8"/>
    <w:rsid w:val="0037397F"/>
    <w:rsid w:val="00384E89"/>
    <w:rsid w:val="004123DE"/>
    <w:rsid w:val="00417C41"/>
    <w:rsid w:val="00446667"/>
    <w:rsid w:val="00467045"/>
    <w:rsid w:val="00482952"/>
    <w:rsid w:val="004937A5"/>
    <w:rsid w:val="00505121"/>
    <w:rsid w:val="00521C8D"/>
    <w:rsid w:val="005B504D"/>
    <w:rsid w:val="005C7FD5"/>
    <w:rsid w:val="005F02B8"/>
    <w:rsid w:val="006248F5"/>
    <w:rsid w:val="00656003"/>
    <w:rsid w:val="00683A75"/>
    <w:rsid w:val="006C126B"/>
    <w:rsid w:val="0076042C"/>
    <w:rsid w:val="00766736"/>
    <w:rsid w:val="0077188A"/>
    <w:rsid w:val="00772AD2"/>
    <w:rsid w:val="007866F8"/>
    <w:rsid w:val="007A34E2"/>
    <w:rsid w:val="007B1057"/>
    <w:rsid w:val="007B5681"/>
    <w:rsid w:val="007D152C"/>
    <w:rsid w:val="007D1AF6"/>
    <w:rsid w:val="007E6B18"/>
    <w:rsid w:val="007F69E7"/>
    <w:rsid w:val="0081486D"/>
    <w:rsid w:val="00835D4B"/>
    <w:rsid w:val="00840F3A"/>
    <w:rsid w:val="008621EC"/>
    <w:rsid w:val="008F2118"/>
    <w:rsid w:val="00935AA8"/>
    <w:rsid w:val="009559DE"/>
    <w:rsid w:val="009A1D52"/>
    <w:rsid w:val="009C3923"/>
    <w:rsid w:val="009D43E5"/>
    <w:rsid w:val="009D7F1E"/>
    <w:rsid w:val="009E322C"/>
    <w:rsid w:val="009F76D7"/>
    <w:rsid w:val="00A24817"/>
    <w:rsid w:val="00AC5F9D"/>
    <w:rsid w:val="00AF14ED"/>
    <w:rsid w:val="00AF6900"/>
    <w:rsid w:val="00B033F6"/>
    <w:rsid w:val="00B22AB4"/>
    <w:rsid w:val="00B326A7"/>
    <w:rsid w:val="00B37647"/>
    <w:rsid w:val="00B41A49"/>
    <w:rsid w:val="00C00021"/>
    <w:rsid w:val="00C854EC"/>
    <w:rsid w:val="00CC6438"/>
    <w:rsid w:val="00D00961"/>
    <w:rsid w:val="00D041AC"/>
    <w:rsid w:val="00D44954"/>
    <w:rsid w:val="00D70A9E"/>
    <w:rsid w:val="00D76912"/>
    <w:rsid w:val="00DA24F3"/>
    <w:rsid w:val="00E644AB"/>
    <w:rsid w:val="00E661A4"/>
    <w:rsid w:val="00EA72A5"/>
    <w:rsid w:val="00EC30FD"/>
    <w:rsid w:val="00F118D3"/>
    <w:rsid w:val="00F6230A"/>
    <w:rsid w:val="00F63174"/>
    <w:rsid w:val="00FB1EEC"/>
    <w:rsid w:val="00FB37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185F55-3F1E-42BF-AF49-F898058A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26A7"/>
    <w:pPr>
      <w:spacing w:line="276" w:lineRule="auto"/>
    </w:pPr>
    <w:rPr>
      <w:rFonts w:asciiTheme="minorHAnsi" w:eastAsiaTheme="minorEastAsia" w:hAnsiTheme="minorHAnsi" w:cstheme="minorBidi"/>
      <w:sz w:val="20"/>
    </w:rPr>
  </w:style>
  <w:style w:type="paragraph" w:styleId="Titre1">
    <w:name w:val="heading 1"/>
    <w:basedOn w:val="Normal"/>
    <w:next w:val="Normal"/>
    <w:link w:val="Titre1Car"/>
    <w:uiPriority w:val="9"/>
    <w:qFormat/>
    <w:rsid w:val="00B326A7"/>
    <w:pPr>
      <w:spacing w:line="240" w:lineRule="auto"/>
      <w:ind w:firstLine="142"/>
      <w:jc w:val="center"/>
      <w:outlineLvl w:val="0"/>
    </w:pPr>
    <w:rPr>
      <w:rFonts w:asciiTheme="majorHAnsi" w:eastAsiaTheme="minorHAnsi" w:hAnsiTheme="majorHAnsi" w:cs="Arial"/>
      <w:b/>
      <w:color w:val="005B99" w:themeColor="accent1"/>
      <w:sz w:val="24"/>
      <w:szCs w:val="24"/>
    </w:rPr>
  </w:style>
  <w:style w:type="paragraph" w:styleId="Titre2">
    <w:name w:val="heading 2"/>
    <w:basedOn w:val="Normal"/>
    <w:next w:val="Normal"/>
    <w:link w:val="Titre2Car"/>
    <w:uiPriority w:val="9"/>
    <w:qFormat/>
    <w:rsid w:val="00B326A7"/>
    <w:pPr>
      <w:keepNext/>
      <w:spacing w:before="240" w:after="60"/>
      <w:jc w:val="both"/>
      <w:outlineLvl w:val="1"/>
    </w:pPr>
    <w:rPr>
      <w:rFonts w:ascii="Arial" w:eastAsiaTheme="minorHAnsi" w:hAnsi="Arial" w:cs="Arial"/>
      <w:b/>
      <w:bCs/>
      <w:iCs/>
      <w:color w:val="C90081" w:themeColor="accent3"/>
      <w:sz w:val="22"/>
      <w:szCs w:val="28"/>
    </w:rPr>
  </w:style>
  <w:style w:type="paragraph" w:styleId="Titre3">
    <w:name w:val="heading 3"/>
    <w:basedOn w:val="Titre2"/>
    <w:next w:val="Normal"/>
    <w:link w:val="Titre3Car"/>
    <w:uiPriority w:val="9"/>
    <w:qFormat/>
    <w:rsid w:val="00B326A7"/>
    <w:pPr>
      <w:spacing w:line="360" w:lineRule="auto"/>
      <w:ind w:left="589" w:hanging="589"/>
      <w:outlineLvl w:val="2"/>
    </w:pPr>
    <w:rPr>
      <w:rFonts w:asciiTheme="majorHAnsi" w:hAnsiTheme="majorHAnsi"/>
      <w:b w:val="0"/>
      <w:color w:val="005B99" w:themeColor="accent1"/>
      <w:sz w:val="20"/>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26A7"/>
    <w:rPr>
      <w:rFonts w:asciiTheme="majorHAnsi" w:hAnsiTheme="majorHAnsi" w:cs="Arial"/>
      <w:b/>
      <w:color w:val="005B99" w:themeColor="accent1"/>
      <w:sz w:val="24"/>
      <w:szCs w:val="24"/>
    </w:rPr>
  </w:style>
  <w:style w:type="character" w:customStyle="1" w:styleId="Titre2Car">
    <w:name w:val="Titre 2 Car"/>
    <w:basedOn w:val="Policepardfaut"/>
    <w:link w:val="Titre2"/>
    <w:uiPriority w:val="9"/>
    <w:rsid w:val="00B326A7"/>
    <w:rPr>
      <w:rFonts w:ascii="Arial" w:hAnsi="Arial" w:cs="Arial"/>
      <w:b/>
      <w:bCs/>
      <w:iCs/>
      <w:color w:val="C90081" w:themeColor="accent3"/>
      <w:szCs w:val="28"/>
    </w:rPr>
  </w:style>
  <w:style w:type="character" w:customStyle="1" w:styleId="Titre3Car">
    <w:name w:val="Titre 3 Car"/>
    <w:basedOn w:val="Policepardfaut"/>
    <w:link w:val="Titre3"/>
    <w:uiPriority w:val="9"/>
    <w:rsid w:val="00B326A7"/>
    <w:rPr>
      <w:rFonts w:asciiTheme="majorHAnsi" w:hAnsiTheme="majorHAnsi" w:cs="Arial"/>
      <w:bCs/>
      <w:iCs/>
      <w:color w:val="005B99" w:themeColor="accent1"/>
      <w:sz w:val="20"/>
      <w:u w:val="single"/>
    </w:rPr>
  </w:style>
  <w:style w:type="paragraph" w:styleId="Sous-titre">
    <w:name w:val="Subtitle"/>
    <w:basedOn w:val="Normal"/>
    <w:next w:val="Normal"/>
    <w:link w:val="Sous-titreCar"/>
    <w:uiPriority w:val="11"/>
    <w:qFormat/>
    <w:rsid w:val="00B326A7"/>
    <w:pPr>
      <w:numPr>
        <w:ilvl w:val="1"/>
      </w:numPr>
    </w:pPr>
    <w:rPr>
      <w:rFonts w:asciiTheme="majorHAnsi" w:eastAsiaTheme="majorEastAsia" w:hAnsiTheme="majorHAnsi" w:cstheme="majorBidi"/>
      <w:i/>
      <w:iCs/>
      <w:color w:val="005B99" w:themeColor="accent1"/>
      <w:spacing w:val="15"/>
      <w:sz w:val="24"/>
      <w:szCs w:val="24"/>
    </w:rPr>
  </w:style>
  <w:style w:type="character" w:customStyle="1" w:styleId="Sous-titreCar">
    <w:name w:val="Sous-titre Car"/>
    <w:basedOn w:val="Policepardfaut"/>
    <w:link w:val="Sous-titre"/>
    <w:uiPriority w:val="11"/>
    <w:rsid w:val="00B326A7"/>
    <w:rPr>
      <w:rFonts w:asciiTheme="majorHAnsi" w:eastAsiaTheme="majorEastAsia" w:hAnsiTheme="majorHAnsi" w:cstheme="majorBidi"/>
      <w:i/>
      <w:iCs/>
      <w:color w:val="005B99" w:themeColor="accent1"/>
      <w:spacing w:val="15"/>
      <w:sz w:val="24"/>
      <w:szCs w:val="24"/>
    </w:rPr>
  </w:style>
  <w:style w:type="character" w:styleId="lev">
    <w:name w:val="Strong"/>
    <w:basedOn w:val="Policepardfaut"/>
    <w:uiPriority w:val="22"/>
    <w:qFormat/>
    <w:rsid w:val="00B326A7"/>
    <w:rPr>
      <w:rFonts w:cs="Times New Roman"/>
      <w:b/>
      <w:bCs/>
    </w:rPr>
  </w:style>
  <w:style w:type="character" w:styleId="Accentuation">
    <w:name w:val="Emphasis"/>
    <w:basedOn w:val="Policepardfaut"/>
    <w:uiPriority w:val="20"/>
    <w:qFormat/>
    <w:rsid w:val="00B326A7"/>
    <w:rPr>
      <w:rFonts w:cs="Times New Roman"/>
      <w:i/>
      <w:iCs/>
    </w:rPr>
  </w:style>
  <w:style w:type="paragraph" w:styleId="Sansinterligne">
    <w:name w:val="No Spacing"/>
    <w:uiPriority w:val="1"/>
    <w:qFormat/>
    <w:rsid w:val="00B326A7"/>
    <w:rPr>
      <w:rFonts w:asciiTheme="minorHAnsi" w:hAnsiTheme="minorHAnsi"/>
      <w:sz w:val="20"/>
      <w:szCs w:val="24"/>
    </w:rPr>
  </w:style>
  <w:style w:type="paragraph" w:styleId="Paragraphedeliste">
    <w:name w:val="List Paragraph"/>
    <w:basedOn w:val="Normal"/>
    <w:link w:val="ParagraphedelisteCar"/>
    <w:uiPriority w:val="34"/>
    <w:qFormat/>
    <w:rsid w:val="00B326A7"/>
    <w:pPr>
      <w:numPr>
        <w:numId w:val="1"/>
      </w:numPr>
    </w:pPr>
    <w:rPr>
      <w:rFonts w:eastAsiaTheme="minorHAnsi" w:cstheme="minorHAnsi"/>
      <w:szCs w:val="24"/>
    </w:rPr>
  </w:style>
  <w:style w:type="character" w:customStyle="1" w:styleId="ParagraphedelisteCar">
    <w:name w:val="Paragraphe de liste Car"/>
    <w:basedOn w:val="Policepardfaut"/>
    <w:link w:val="Paragraphedeliste"/>
    <w:uiPriority w:val="34"/>
    <w:locked/>
    <w:rsid w:val="00B326A7"/>
    <w:rPr>
      <w:rFonts w:asciiTheme="minorHAnsi" w:hAnsiTheme="minorHAnsi" w:cstheme="minorHAnsi"/>
      <w:sz w:val="20"/>
      <w:szCs w:val="24"/>
    </w:rPr>
  </w:style>
  <w:style w:type="character" w:styleId="Titredulivre">
    <w:name w:val="Book Title"/>
    <w:basedOn w:val="Policepardfaut"/>
    <w:uiPriority w:val="33"/>
    <w:qFormat/>
    <w:rsid w:val="00B326A7"/>
    <w:rPr>
      <w:b/>
      <w:bCs/>
      <w:smallCaps/>
      <w:spacing w:val="5"/>
    </w:rPr>
  </w:style>
  <w:style w:type="paragraph" w:customStyle="1" w:styleId="Paragraphedeliste1">
    <w:name w:val="Paragraphe de liste1"/>
    <w:basedOn w:val="Normal"/>
    <w:qFormat/>
    <w:rsid w:val="00B326A7"/>
    <w:pPr>
      <w:contextualSpacing/>
    </w:pPr>
    <w:rPr>
      <w:rFonts w:ascii="Arial" w:eastAsia="PMingLiU" w:hAnsi="Arial" w:cs="Arial"/>
      <w:lang w:eastAsia="zh-TW" w:bidi="he-IL"/>
    </w:rPr>
  </w:style>
  <w:style w:type="paragraph" w:styleId="NormalWeb">
    <w:name w:val="Normal (Web)"/>
    <w:basedOn w:val="Normal"/>
    <w:uiPriority w:val="99"/>
    <w:semiHidden/>
    <w:unhideWhenUsed/>
    <w:rsid w:val="00FB1EE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B1EEC"/>
    <w:rPr>
      <w:color w:val="0000FF"/>
      <w:u w:val="single"/>
    </w:rPr>
  </w:style>
  <w:style w:type="character" w:styleId="Lienhypertextesuivivisit">
    <w:name w:val="FollowedHyperlink"/>
    <w:basedOn w:val="Policepardfaut"/>
    <w:uiPriority w:val="99"/>
    <w:semiHidden/>
    <w:unhideWhenUsed/>
    <w:rsid w:val="00B37647"/>
    <w:rPr>
      <w:color w:val="800080" w:themeColor="followedHyperlink"/>
      <w:u w:val="single"/>
    </w:rPr>
  </w:style>
  <w:style w:type="paragraph" w:styleId="Textedebulles">
    <w:name w:val="Balloon Text"/>
    <w:basedOn w:val="Normal"/>
    <w:link w:val="TextedebullesCar"/>
    <w:uiPriority w:val="99"/>
    <w:semiHidden/>
    <w:unhideWhenUsed/>
    <w:rsid w:val="00D70A9E"/>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0A9E"/>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7319">
      <w:bodyDiv w:val="1"/>
      <w:marLeft w:val="0"/>
      <w:marRight w:val="0"/>
      <w:marTop w:val="0"/>
      <w:marBottom w:val="0"/>
      <w:divBdr>
        <w:top w:val="none" w:sz="0" w:space="0" w:color="auto"/>
        <w:left w:val="none" w:sz="0" w:space="0" w:color="auto"/>
        <w:bottom w:val="none" w:sz="0" w:space="0" w:color="auto"/>
        <w:right w:val="none" w:sz="0" w:space="0" w:color="auto"/>
      </w:divBdr>
    </w:div>
    <w:div w:id="98260180">
      <w:bodyDiv w:val="1"/>
      <w:marLeft w:val="0"/>
      <w:marRight w:val="0"/>
      <w:marTop w:val="0"/>
      <w:marBottom w:val="0"/>
      <w:divBdr>
        <w:top w:val="none" w:sz="0" w:space="0" w:color="auto"/>
        <w:left w:val="none" w:sz="0" w:space="0" w:color="auto"/>
        <w:bottom w:val="none" w:sz="0" w:space="0" w:color="auto"/>
        <w:right w:val="none" w:sz="0" w:space="0" w:color="auto"/>
      </w:divBdr>
      <w:divsChild>
        <w:div w:id="1598631245">
          <w:marLeft w:val="0"/>
          <w:marRight w:val="0"/>
          <w:marTop w:val="0"/>
          <w:marBottom w:val="0"/>
          <w:divBdr>
            <w:top w:val="none" w:sz="0" w:space="0" w:color="auto"/>
            <w:left w:val="none" w:sz="0" w:space="0" w:color="auto"/>
            <w:bottom w:val="none" w:sz="0" w:space="0" w:color="auto"/>
            <w:right w:val="none" w:sz="0" w:space="0" w:color="auto"/>
          </w:divBdr>
          <w:divsChild>
            <w:div w:id="43875102">
              <w:marLeft w:val="0"/>
              <w:marRight w:val="0"/>
              <w:marTop w:val="0"/>
              <w:marBottom w:val="0"/>
              <w:divBdr>
                <w:top w:val="none" w:sz="0" w:space="0" w:color="auto"/>
                <w:left w:val="none" w:sz="0" w:space="0" w:color="auto"/>
                <w:bottom w:val="none" w:sz="0" w:space="0" w:color="auto"/>
                <w:right w:val="none" w:sz="0" w:space="0" w:color="auto"/>
              </w:divBdr>
              <w:divsChild>
                <w:div w:id="1150559078">
                  <w:marLeft w:val="0"/>
                  <w:marRight w:val="0"/>
                  <w:marTop w:val="0"/>
                  <w:marBottom w:val="0"/>
                  <w:divBdr>
                    <w:top w:val="none" w:sz="0" w:space="0" w:color="auto"/>
                    <w:left w:val="none" w:sz="0" w:space="0" w:color="auto"/>
                    <w:bottom w:val="none" w:sz="0" w:space="0" w:color="auto"/>
                    <w:right w:val="none" w:sz="0" w:space="0" w:color="auto"/>
                  </w:divBdr>
                  <w:divsChild>
                    <w:div w:id="575554636">
                      <w:marLeft w:val="0"/>
                      <w:marRight w:val="0"/>
                      <w:marTop w:val="0"/>
                      <w:marBottom w:val="0"/>
                      <w:divBdr>
                        <w:top w:val="none" w:sz="0" w:space="0" w:color="auto"/>
                        <w:left w:val="none" w:sz="0" w:space="0" w:color="auto"/>
                        <w:bottom w:val="none" w:sz="0" w:space="0" w:color="auto"/>
                        <w:right w:val="none" w:sz="0" w:space="0" w:color="auto"/>
                      </w:divBdr>
                      <w:divsChild>
                        <w:div w:id="242839571">
                          <w:marLeft w:val="0"/>
                          <w:marRight w:val="0"/>
                          <w:marTop w:val="0"/>
                          <w:marBottom w:val="0"/>
                          <w:divBdr>
                            <w:top w:val="none" w:sz="0" w:space="0" w:color="auto"/>
                            <w:left w:val="none" w:sz="0" w:space="0" w:color="auto"/>
                            <w:bottom w:val="none" w:sz="0" w:space="0" w:color="auto"/>
                            <w:right w:val="none" w:sz="0" w:space="0" w:color="auto"/>
                          </w:divBdr>
                          <w:divsChild>
                            <w:div w:id="266088058">
                              <w:marLeft w:val="0"/>
                              <w:marRight w:val="0"/>
                              <w:marTop w:val="0"/>
                              <w:marBottom w:val="0"/>
                              <w:divBdr>
                                <w:top w:val="none" w:sz="0" w:space="0" w:color="auto"/>
                                <w:left w:val="none" w:sz="0" w:space="0" w:color="auto"/>
                                <w:bottom w:val="none" w:sz="0" w:space="0" w:color="auto"/>
                                <w:right w:val="none" w:sz="0" w:space="0" w:color="auto"/>
                              </w:divBdr>
                              <w:divsChild>
                                <w:div w:id="40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467365">
      <w:bodyDiv w:val="1"/>
      <w:marLeft w:val="0"/>
      <w:marRight w:val="0"/>
      <w:marTop w:val="0"/>
      <w:marBottom w:val="0"/>
      <w:divBdr>
        <w:top w:val="none" w:sz="0" w:space="0" w:color="auto"/>
        <w:left w:val="none" w:sz="0" w:space="0" w:color="auto"/>
        <w:bottom w:val="none" w:sz="0" w:space="0" w:color="auto"/>
        <w:right w:val="none" w:sz="0" w:space="0" w:color="auto"/>
      </w:divBdr>
      <w:divsChild>
        <w:div w:id="959798633">
          <w:marLeft w:val="0"/>
          <w:marRight w:val="0"/>
          <w:marTop w:val="0"/>
          <w:marBottom w:val="0"/>
          <w:divBdr>
            <w:top w:val="none" w:sz="0" w:space="0" w:color="auto"/>
            <w:left w:val="none" w:sz="0" w:space="0" w:color="auto"/>
            <w:bottom w:val="none" w:sz="0" w:space="0" w:color="auto"/>
            <w:right w:val="none" w:sz="0" w:space="0" w:color="auto"/>
          </w:divBdr>
          <w:divsChild>
            <w:div w:id="1359238622">
              <w:marLeft w:val="0"/>
              <w:marRight w:val="0"/>
              <w:marTop w:val="0"/>
              <w:marBottom w:val="0"/>
              <w:divBdr>
                <w:top w:val="none" w:sz="0" w:space="0" w:color="auto"/>
                <w:left w:val="none" w:sz="0" w:space="0" w:color="auto"/>
                <w:bottom w:val="none" w:sz="0" w:space="0" w:color="auto"/>
                <w:right w:val="none" w:sz="0" w:space="0" w:color="auto"/>
              </w:divBdr>
              <w:divsChild>
                <w:div w:id="1540436837">
                  <w:marLeft w:val="0"/>
                  <w:marRight w:val="0"/>
                  <w:marTop w:val="0"/>
                  <w:marBottom w:val="0"/>
                  <w:divBdr>
                    <w:top w:val="none" w:sz="0" w:space="0" w:color="auto"/>
                    <w:left w:val="none" w:sz="0" w:space="0" w:color="auto"/>
                    <w:bottom w:val="none" w:sz="0" w:space="0" w:color="auto"/>
                    <w:right w:val="none" w:sz="0" w:space="0" w:color="auto"/>
                  </w:divBdr>
                  <w:divsChild>
                    <w:div w:id="51848867">
                      <w:marLeft w:val="0"/>
                      <w:marRight w:val="0"/>
                      <w:marTop w:val="0"/>
                      <w:marBottom w:val="0"/>
                      <w:divBdr>
                        <w:top w:val="none" w:sz="0" w:space="0" w:color="auto"/>
                        <w:left w:val="none" w:sz="0" w:space="0" w:color="auto"/>
                        <w:bottom w:val="none" w:sz="0" w:space="0" w:color="auto"/>
                        <w:right w:val="none" w:sz="0" w:space="0" w:color="auto"/>
                      </w:divBdr>
                      <w:divsChild>
                        <w:div w:id="117918111">
                          <w:marLeft w:val="0"/>
                          <w:marRight w:val="0"/>
                          <w:marTop w:val="0"/>
                          <w:marBottom w:val="0"/>
                          <w:divBdr>
                            <w:top w:val="none" w:sz="0" w:space="0" w:color="auto"/>
                            <w:left w:val="none" w:sz="0" w:space="0" w:color="auto"/>
                            <w:bottom w:val="none" w:sz="0" w:space="0" w:color="auto"/>
                            <w:right w:val="none" w:sz="0" w:space="0" w:color="auto"/>
                          </w:divBdr>
                          <w:divsChild>
                            <w:div w:id="1246500345">
                              <w:marLeft w:val="0"/>
                              <w:marRight w:val="0"/>
                              <w:marTop w:val="0"/>
                              <w:marBottom w:val="0"/>
                              <w:divBdr>
                                <w:top w:val="none" w:sz="0" w:space="0" w:color="auto"/>
                                <w:left w:val="none" w:sz="0" w:space="0" w:color="auto"/>
                                <w:bottom w:val="none" w:sz="0" w:space="0" w:color="auto"/>
                                <w:right w:val="none" w:sz="0" w:space="0" w:color="auto"/>
                              </w:divBdr>
                              <w:divsChild>
                                <w:div w:id="19004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914717">
      <w:bodyDiv w:val="1"/>
      <w:marLeft w:val="0"/>
      <w:marRight w:val="0"/>
      <w:marTop w:val="0"/>
      <w:marBottom w:val="0"/>
      <w:divBdr>
        <w:top w:val="none" w:sz="0" w:space="0" w:color="auto"/>
        <w:left w:val="none" w:sz="0" w:space="0" w:color="auto"/>
        <w:bottom w:val="none" w:sz="0" w:space="0" w:color="auto"/>
        <w:right w:val="none" w:sz="0" w:space="0" w:color="auto"/>
      </w:divBdr>
    </w:div>
    <w:div w:id="2004772859">
      <w:bodyDiv w:val="1"/>
      <w:marLeft w:val="0"/>
      <w:marRight w:val="0"/>
      <w:marTop w:val="0"/>
      <w:marBottom w:val="0"/>
      <w:divBdr>
        <w:top w:val="none" w:sz="0" w:space="0" w:color="auto"/>
        <w:left w:val="none" w:sz="0" w:space="0" w:color="auto"/>
        <w:bottom w:val="none" w:sz="0" w:space="0" w:color="auto"/>
        <w:right w:val="none" w:sz="0" w:space="0" w:color="auto"/>
      </w:divBdr>
    </w:div>
    <w:div w:id="2080664258">
      <w:bodyDiv w:val="1"/>
      <w:marLeft w:val="0"/>
      <w:marRight w:val="0"/>
      <w:marTop w:val="0"/>
      <w:marBottom w:val="0"/>
      <w:divBdr>
        <w:top w:val="none" w:sz="0" w:space="0" w:color="auto"/>
        <w:left w:val="none" w:sz="0" w:space="0" w:color="auto"/>
        <w:bottom w:val="none" w:sz="0" w:space="0" w:color="auto"/>
        <w:right w:val="none" w:sz="0" w:space="0" w:color="auto"/>
      </w:divBdr>
    </w:div>
    <w:div w:id="214580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4069&amp;idArticle=LEGIARTI000006797343&amp;dateTexte=&amp;categorieLien=cid" TargetMode="External"/><Relationship Id="rId3" Type="http://schemas.openxmlformats.org/officeDocument/2006/relationships/styles" Target="styles.xml"/><Relationship Id="rId7" Type="http://schemas.openxmlformats.org/officeDocument/2006/relationships/hyperlink" Target="https://www.legifrance.gouv.fr/affichCodeArticle.do?cidTexte=LEGITEXT000006074069&amp;idArticle=LEGIARTI000006796482&amp;dateTexte=&amp;categorieLien=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france.gouv.fr/affichTexteArticle.do;jsessionid=43C1196CE143470A6C8ADB1EF2E8599C.tpdila07v_2?idArticle=LEGIARTI000029370866&amp;cidTexte=JORFTEXT000021312171&amp;categorieLien=id&amp;dateTexte=" TargetMode="External"/></Relationships>
</file>

<file path=word/theme/theme1.xml><?xml version="1.0" encoding="utf-8"?>
<a:theme xmlns:a="http://schemas.openxmlformats.org/drawingml/2006/main" name="Thème Office">
  <a:themeElements>
    <a:clrScheme name="UNCCAS">
      <a:dk1>
        <a:sysClr val="windowText" lastClr="000000"/>
      </a:dk1>
      <a:lt1>
        <a:sysClr val="window" lastClr="FFFFFF"/>
      </a:lt1>
      <a:dk2>
        <a:srgbClr val="1F497D"/>
      </a:dk2>
      <a:lt2>
        <a:srgbClr val="EEECE1"/>
      </a:lt2>
      <a:accent1>
        <a:srgbClr val="005B99"/>
      </a:accent1>
      <a:accent2>
        <a:srgbClr val="FFC61E"/>
      </a:accent2>
      <a:accent3>
        <a:srgbClr val="C90081"/>
      </a:accent3>
      <a:accent4>
        <a:srgbClr val="56AA1C"/>
      </a:accent4>
      <a:accent5>
        <a:srgbClr val="F77F00"/>
      </a:accent5>
      <a:accent6>
        <a:srgbClr val="00A6EB"/>
      </a:accent6>
      <a:hlink>
        <a:srgbClr val="0000FF"/>
      </a:hlink>
      <a:folHlink>
        <a:srgbClr val="800080"/>
      </a:folHlink>
    </a:clrScheme>
    <a:fontScheme name="UNCCA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D0925-A759-4EE0-8A2E-8CD65CCCB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4753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castel</dc:creator>
  <cp:lastModifiedBy>Antoine MATH</cp:lastModifiedBy>
  <cp:revision>2</cp:revision>
  <dcterms:created xsi:type="dcterms:W3CDTF">2019-02-12T10:31:00Z</dcterms:created>
  <dcterms:modified xsi:type="dcterms:W3CDTF">2019-02-12T10:31:00Z</dcterms:modified>
</cp:coreProperties>
</file>