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948" w:rsidRPr="001B30BC" w:rsidRDefault="002C3948" w:rsidP="001B30BC">
      <w:pPr>
        <w:jc w:val="both"/>
        <w:rPr>
          <w:b/>
          <w:color w:val="C90081" w:themeColor="accent3"/>
          <w:szCs w:val="20"/>
        </w:rPr>
      </w:pPr>
      <w:bookmarkStart w:id="0" w:name="_GoBack"/>
      <w:bookmarkEnd w:id="0"/>
      <w:r w:rsidRPr="001B30BC">
        <w:rPr>
          <w:b/>
          <w:noProof/>
          <w:color w:val="C90081" w:themeColor="accent3"/>
          <w:szCs w:val="20"/>
          <w:lang w:eastAsia="fr-FR"/>
        </w:rPr>
        <w:drawing>
          <wp:anchor distT="0" distB="0" distL="114300" distR="114300" simplePos="0" relativeHeight="251659264" behindDoc="0" locked="0" layoutInCell="1" allowOverlap="1">
            <wp:simplePos x="0" y="0"/>
            <wp:positionH relativeFrom="column">
              <wp:posOffset>-204470</wp:posOffset>
            </wp:positionH>
            <wp:positionV relativeFrom="paragraph">
              <wp:posOffset>-604520</wp:posOffset>
            </wp:positionV>
            <wp:extent cx="1495425" cy="581025"/>
            <wp:effectExtent l="19050" t="0" r="9525" b="0"/>
            <wp:wrapThrough wrapText="bothSides">
              <wp:wrapPolygon edited="0">
                <wp:start x="-275" y="0"/>
                <wp:lineTo x="-275" y="21246"/>
                <wp:lineTo x="21738" y="21246"/>
                <wp:lineTo x="21738" y="0"/>
                <wp:lineTo x="-275" y="0"/>
              </wp:wrapPolygon>
            </wp:wrapThrough>
            <wp:docPr id="1" name="Image 1" descr="C:\Users\unccas\AppData\Local\Microsoft\Windows\Temporary Internet Files\Content.Outlook\5JGV0OR0\Nouveau logo UNCCAS 2015_CMJ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nccas\AppData\Local\Microsoft\Windows\Temporary Internet Files\Content.Outlook\5JGV0OR0\Nouveau logo UNCCAS 2015_CMJN.tif"/>
                    <pic:cNvPicPr>
                      <a:picLocks noChangeAspect="1" noChangeArrowheads="1"/>
                    </pic:cNvPicPr>
                  </pic:nvPicPr>
                  <pic:blipFill>
                    <a:blip r:embed="rId5" cstate="print"/>
                    <a:srcRect/>
                    <a:stretch>
                      <a:fillRect/>
                    </a:stretch>
                  </pic:blipFill>
                  <pic:spPr bwMode="auto">
                    <a:xfrm>
                      <a:off x="0" y="0"/>
                      <a:ext cx="1495425" cy="581025"/>
                    </a:xfrm>
                    <a:prstGeom prst="rect">
                      <a:avLst/>
                    </a:prstGeom>
                    <a:noFill/>
                    <a:ln w="9525">
                      <a:noFill/>
                      <a:miter lim="800000"/>
                      <a:headEnd/>
                      <a:tailEnd/>
                    </a:ln>
                  </pic:spPr>
                </pic:pic>
              </a:graphicData>
            </a:graphic>
          </wp:anchor>
        </w:drawing>
      </w:r>
    </w:p>
    <w:p w:rsidR="002C3948" w:rsidRPr="00284D5A" w:rsidRDefault="002C3948" w:rsidP="001B30BC">
      <w:pPr>
        <w:jc w:val="both"/>
        <w:rPr>
          <w:b/>
          <w:szCs w:val="20"/>
        </w:rPr>
      </w:pPr>
      <w:r w:rsidRPr="00284D5A">
        <w:rPr>
          <w:b/>
          <w:szCs w:val="20"/>
        </w:rPr>
        <w:t xml:space="preserve">Politiques sociales : </w:t>
      </w:r>
      <w:r w:rsidRPr="00284D5A">
        <w:rPr>
          <w:szCs w:val="20"/>
        </w:rPr>
        <w:t>Accès aux droits, Domiciliation</w:t>
      </w:r>
    </w:p>
    <w:p w:rsidR="002C3948" w:rsidRPr="00284D5A" w:rsidRDefault="002C3948" w:rsidP="001B30BC">
      <w:pPr>
        <w:jc w:val="both"/>
        <w:rPr>
          <w:b/>
          <w:szCs w:val="20"/>
        </w:rPr>
      </w:pPr>
      <w:r w:rsidRPr="00284D5A">
        <w:rPr>
          <w:b/>
          <w:szCs w:val="20"/>
        </w:rPr>
        <w:t xml:space="preserve">Date de création : </w:t>
      </w:r>
      <w:r w:rsidRPr="00284D5A">
        <w:rPr>
          <w:szCs w:val="20"/>
        </w:rPr>
        <w:t>19 / 09 / 2016</w:t>
      </w:r>
    </w:p>
    <w:p w:rsidR="002C3948" w:rsidRPr="001B30BC" w:rsidRDefault="002C3948" w:rsidP="001B30BC">
      <w:pPr>
        <w:jc w:val="both"/>
        <w:rPr>
          <w:b/>
          <w:color w:val="C90081" w:themeColor="accent3"/>
          <w:szCs w:val="20"/>
        </w:rPr>
      </w:pPr>
    </w:p>
    <w:p w:rsidR="002C3948" w:rsidRPr="001B30BC" w:rsidRDefault="002C3948" w:rsidP="001B30BC">
      <w:pPr>
        <w:jc w:val="both"/>
        <w:rPr>
          <w:b/>
          <w:color w:val="C90081" w:themeColor="accent3"/>
          <w:szCs w:val="20"/>
        </w:rPr>
      </w:pPr>
      <w:r w:rsidRPr="001B30BC">
        <w:rPr>
          <w:b/>
          <w:color w:val="C90081" w:themeColor="accent3"/>
          <w:szCs w:val="20"/>
        </w:rPr>
        <w:t xml:space="preserve"> </w:t>
      </w:r>
    </w:p>
    <w:p w:rsidR="002C3948" w:rsidRPr="001B30BC" w:rsidRDefault="002C3948" w:rsidP="001B30BC">
      <w:pPr>
        <w:pBdr>
          <w:top w:val="single" w:sz="4" w:space="1" w:color="C90081" w:themeColor="accent3"/>
          <w:left w:val="single" w:sz="4" w:space="4" w:color="C90081" w:themeColor="accent3"/>
          <w:bottom w:val="single" w:sz="4" w:space="1" w:color="C90081" w:themeColor="accent3"/>
          <w:right w:val="single" w:sz="4" w:space="4" w:color="C90081" w:themeColor="accent3"/>
        </w:pBdr>
        <w:jc w:val="center"/>
        <w:rPr>
          <w:color w:val="C90081" w:themeColor="accent3"/>
          <w:szCs w:val="20"/>
        </w:rPr>
      </w:pPr>
      <w:r w:rsidRPr="001B30BC">
        <w:rPr>
          <w:color w:val="C90081" w:themeColor="accent3"/>
          <w:szCs w:val="20"/>
        </w:rPr>
        <w:t>Fiche pratique Domiciliation :</w:t>
      </w:r>
    </w:p>
    <w:p w:rsidR="002C3948" w:rsidRPr="001B30BC" w:rsidRDefault="006D1BD5" w:rsidP="001B30BC">
      <w:pPr>
        <w:pBdr>
          <w:top w:val="single" w:sz="4" w:space="1" w:color="C90081" w:themeColor="accent3"/>
          <w:left w:val="single" w:sz="4" w:space="4" w:color="C90081" w:themeColor="accent3"/>
          <w:bottom w:val="single" w:sz="4" w:space="1" w:color="C90081" w:themeColor="accent3"/>
          <w:right w:val="single" w:sz="4" w:space="4" w:color="C90081" w:themeColor="accent3"/>
        </w:pBdr>
        <w:jc w:val="center"/>
        <w:rPr>
          <w:b/>
          <w:color w:val="C90081" w:themeColor="accent3"/>
          <w:szCs w:val="20"/>
        </w:rPr>
      </w:pPr>
      <w:r>
        <w:rPr>
          <w:b/>
          <w:color w:val="C90081" w:themeColor="accent3"/>
          <w:szCs w:val="20"/>
        </w:rPr>
        <w:t xml:space="preserve">La domiciliation </w:t>
      </w:r>
      <w:r w:rsidR="00703BD6">
        <w:rPr>
          <w:b/>
          <w:color w:val="C90081" w:themeColor="accent3"/>
          <w:szCs w:val="20"/>
        </w:rPr>
        <w:t>des personnes en situation irrégulière</w:t>
      </w:r>
    </w:p>
    <w:p w:rsidR="006D1BD5" w:rsidRDefault="006D1BD5" w:rsidP="00703BD6">
      <w:pPr>
        <w:jc w:val="both"/>
      </w:pPr>
    </w:p>
    <w:p w:rsidR="00A7671F" w:rsidRDefault="00A7671F" w:rsidP="00703BD6">
      <w:pPr>
        <w:jc w:val="both"/>
        <w:rPr>
          <w:rFonts w:ascii="Arial" w:hAnsi="Arial" w:cs="Arial"/>
          <w:szCs w:val="20"/>
        </w:rPr>
      </w:pPr>
      <w:r>
        <w:rPr>
          <w:rFonts w:ascii="Arial" w:hAnsi="Arial" w:cs="Arial"/>
          <w:szCs w:val="20"/>
        </w:rPr>
        <w:t>L</w:t>
      </w:r>
      <w:r w:rsidR="00703BD6">
        <w:rPr>
          <w:rFonts w:ascii="Arial" w:hAnsi="Arial" w:cs="Arial"/>
          <w:szCs w:val="20"/>
        </w:rPr>
        <w:t>'</w:t>
      </w:r>
      <w:hyperlink r:id="rId6" w:history="1">
        <w:r w:rsidR="00703BD6">
          <w:rPr>
            <w:rStyle w:val="Lienhypertexte"/>
            <w:rFonts w:ascii="Arial" w:hAnsi="Arial"/>
            <w:szCs w:val="20"/>
          </w:rPr>
          <w:t>article L.264-2</w:t>
        </w:r>
      </w:hyperlink>
      <w:r>
        <w:rPr>
          <w:rFonts w:ascii="Arial" w:hAnsi="Arial" w:cs="Arial"/>
          <w:szCs w:val="20"/>
        </w:rPr>
        <w:t xml:space="preserve"> </w:t>
      </w:r>
      <w:r w:rsidR="00DB28DF">
        <w:rPr>
          <w:rFonts w:ascii="Arial" w:hAnsi="Arial" w:cs="Arial"/>
          <w:szCs w:val="20"/>
        </w:rPr>
        <w:t>alinéa</w:t>
      </w:r>
      <w:r>
        <w:rPr>
          <w:rFonts w:ascii="Arial" w:hAnsi="Arial" w:cs="Arial"/>
          <w:szCs w:val="20"/>
        </w:rPr>
        <w:t xml:space="preserve"> 3 du c</w:t>
      </w:r>
      <w:r w:rsidR="00703BD6">
        <w:rPr>
          <w:rFonts w:ascii="Arial" w:hAnsi="Arial" w:cs="Arial"/>
          <w:szCs w:val="20"/>
        </w:rPr>
        <w:t>ode de l'act</w:t>
      </w:r>
      <w:r>
        <w:rPr>
          <w:rFonts w:ascii="Arial" w:hAnsi="Arial" w:cs="Arial"/>
          <w:szCs w:val="20"/>
        </w:rPr>
        <w:t xml:space="preserve">ion sociale et des familles introduit des restrictions à la délivrance d'une attestation de domiciliation aux ressortissants non communautaires en situation irrégulière. </w:t>
      </w:r>
    </w:p>
    <w:p w:rsidR="00A7671F" w:rsidRDefault="00A7671F" w:rsidP="00703BD6">
      <w:pPr>
        <w:jc w:val="both"/>
        <w:rPr>
          <w:rFonts w:ascii="Arial" w:hAnsi="Arial" w:cs="Arial"/>
          <w:szCs w:val="20"/>
        </w:rPr>
      </w:pPr>
    </w:p>
    <w:p w:rsidR="00A7671F" w:rsidRPr="00A7671F" w:rsidRDefault="00A7671F" w:rsidP="00703BD6">
      <w:pPr>
        <w:jc w:val="both"/>
        <w:rPr>
          <w:rFonts w:ascii="Arial" w:hAnsi="Arial" w:cs="Arial"/>
          <w:b/>
          <w:color w:val="C90081" w:themeColor="accent3"/>
          <w:szCs w:val="20"/>
        </w:rPr>
      </w:pPr>
      <w:r w:rsidRPr="00A7671F">
        <w:rPr>
          <w:rFonts w:ascii="Arial" w:hAnsi="Arial" w:cs="Arial"/>
          <w:b/>
          <w:color w:val="C90081" w:themeColor="accent3"/>
          <w:szCs w:val="20"/>
        </w:rPr>
        <w:t xml:space="preserve">Dans quels cas un ressortissant d'un Etat non membre de l'Union Européenne en situation irrégulière peut-il se voir délivrer une attestation d'élection de domicile ? </w:t>
      </w:r>
    </w:p>
    <w:p w:rsidR="00A7671F" w:rsidRPr="00A7671F" w:rsidRDefault="00A7671F" w:rsidP="00703BD6">
      <w:pPr>
        <w:jc w:val="both"/>
        <w:rPr>
          <w:rFonts w:ascii="Arial" w:hAnsi="Arial" w:cs="Arial"/>
          <w:szCs w:val="20"/>
        </w:rPr>
      </w:pPr>
    </w:p>
    <w:p w:rsidR="00983AA0" w:rsidRDefault="00983AA0" w:rsidP="00703BD6">
      <w:pPr>
        <w:jc w:val="both"/>
        <w:rPr>
          <w:b/>
          <w:bCs/>
        </w:rPr>
      </w:pPr>
      <w:hyperlink r:id="rId7" w:history="1">
        <w:r>
          <w:rPr>
            <w:rStyle w:val="Lienhypertexte"/>
          </w:rPr>
          <w:t>L'article L 264-2 du CASF</w:t>
        </w:r>
      </w:hyperlink>
      <w:r>
        <w:t xml:space="preserve"> pose une </w:t>
      </w:r>
      <w:r>
        <w:rPr>
          <w:rStyle w:val="lev"/>
        </w:rPr>
        <w:t xml:space="preserve">restriction à l’accès à la domiciliation pour les personnes étrangères non communautaires en situation irrégulière, </w:t>
      </w:r>
      <w:r w:rsidRPr="0027320C">
        <w:rPr>
          <w:rStyle w:val="lev"/>
          <w:b w:val="0"/>
        </w:rPr>
        <w:t>c’est-à-dire pour les personnes ne possédant pas un titre de séjour prévu du titre I du livre III du CESEDA</w:t>
      </w:r>
      <w:r>
        <w:rPr>
          <w:rStyle w:val="lev"/>
        </w:rPr>
        <w:t xml:space="preserve">. Ces personnes ne peuvent accéder au dispositif de domiciliation que pour trois motifs : </w:t>
      </w:r>
      <w:r w:rsidRPr="00983AA0">
        <w:rPr>
          <w:b/>
          <w:bCs/>
        </w:rPr>
        <w:t xml:space="preserve">l'accès ou le maintien de </w:t>
      </w:r>
      <w:r>
        <w:rPr>
          <w:b/>
          <w:bCs/>
        </w:rPr>
        <w:t>l’aide médicale d’Etat</w:t>
      </w:r>
      <w:r w:rsidRPr="00983AA0">
        <w:rPr>
          <w:b/>
          <w:bCs/>
        </w:rPr>
        <w:t xml:space="preserve">, l'accès à l’aide </w:t>
      </w:r>
      <w:r>
        <w:rPr>
          <w:b/>
          <w:bCs/>
        </w:rPr>
        <w:t>juridictionnelle</w:t>
      </w:r>
      <w:r w:rsidRPr="00983AA0">
        <w:rPr>
          <w:b/>
          <w:bCs/>
        </w:rPr>
        <w:t xml:space="preserve"> et l</w:t>
      </w:r>
      <w:r>
        <w:rPr>
          <w:b/>
          <w:bCs/>
        </w:rPr>
        <w:t xml:space="preserve">’exercice </w:t>
      </w:r>
      <w:r w:rsidRPr="00983AA0">
        <w:rPr>
          <w:b/>
          <w:bCs/>
        </w:rPr>
        <w:t>des droits civil</w:t>
      </w:r>
      <w:r>
        <w:rPr>
          <w:b/>
          <w:bCs/>
        </w:rPr>
        <w:t>s qui leur sont reconnus par la loi.</w:t>
      </w:r>
    </w:p>
    <w:p w:rsidR="00983AA0" w:rsidRDefault="00983AA0" w:rsidP="00703BD6">
      <w:pPr>
        <w:jc w:val="both"/>
        <w:rPr>
          <w:rStyle w:val="lev"/>
        </w:rPr>
      </w:pPr>
    </w:p>
    <w:p w:rsidR="00983AA0" w:rsidRDefault="00983AA0" w:rsidP="00703BD6">
      <w:pPr>
        <w:jc w:val="both"/>
        <w:rPr>
          <w:rStyle w:val="lev"/>
          <w:b w:val="0"/>
        </w:rPr>
      </w:pPr>
      <w:r w:rsidRPr="0027320C">
        <w:rPr>
          <w:rStyle w:val="lev"/>
          <w:b w:val="0"/>
        </w:rPr>
        <w:t xml:space="preserve">Autrement dit, les CCAS ont obligation légale de répondre favorablement à la demande de domiciliation d’une personne en situation irrégulière sans domicile stable ayant un lien avec la commune et qui souhaite bénéficier de l’un de ces trois droits. </w:t>
      </w:r>
    </w:p>
    <w:p w:rsidR="00983AA0" w:rsidRDefault="00983AA0" w:rsidP="00703BD6">
      <w:pPr>
        <w:jc w:val="both"/>
        <w:rPr>
          <w:rStyle w:val="lev"/>
          <w:b w:val="0"/>
        </w:rPr>
      </w:pPr>
    </w:p>
    <w:p w:rsidR="00983AA0" w:rsidRPr="0027320C" w:rsidRDefault="00983AA0" w:rsidP="00703BD6">
      <w:pPr>
        <w:jc w:val="both"/>
        <w:rPr>
          <w:rStyle w:val="lev"/>
          <w:b w:val="0"/>
        </w:rPr>
      </w:pPr>
      <w:r>
        <w:t>Attention</w:t>
      </w:r>
      <w:r w:rsidRPr="00983AA0">
        <w:t xml:space="preserve">, il faut distinguer les motifs générant l’obligation de domiciliation par le CCAS (AME, aide juridictionnelle et droits civils) et les effets de la domiciliation, c'est à dire les prestations auxquelles ces personnes peuvent prétendre une fois domiciliée via leur attestation : en effet, une personne en situation irrégulière doit pour obtenir le CERFA de domiciliation évoquer auprès du CCAS l’accès à l'une de ces trois prestations, mais </w:t>
      </w:r>
      <w:r w:rsidRPr="00983AA0">
        <w:rPr>
          <w:b/>
          <w:bCs/>
        </w:rPr>
        <w:t xml:space="preserve">une fois qu'elle aura élue domicile au sein du CCAS, elle pourra se servir de cette adresse pour </w:t>
      </w:r>
      <w:r w:rsidR="00F86505">
        <w:rPr>
          <w:b/>
          <w:bCs/>
        </w:rPr>
        <w:t xml:space="preserve">l’ensemble de ses démarches (notamment en préfecture) et pour </w:t>
      </w:r>
      <w:r w:rsidRPr="00983AA0">
        <w:rPr>
          <w:b/>
          <w:bCs/>
        </w:rPr>
        <w:t>ouvrir l'ensemble des droits/prestations auxquelles elle peut prétendre. C’est pourquoi les attestations CERFA ne font mention que d’un accord ou d’un refus.</w:t>
      </w:r>
    </w:p>
    <w:p w:rsidR="00983AA0" w:rsidRDefault="00983AA0" w:rsidP="00703BD6">
      <w:pPr>
        <w:jc w:val="both"/>
        <w:rPr>
          <w:rFonts w:ascii="Arial" w:hAnsi="Arial" w:cs="Arial"/>
          <w:szCs w:val="20"/>
        </w:rPr>
      </w:pPr>
    </w:p>
    <w:p w:rsidR="006261C2" w:rsidRDefault="006261C2" w:rsidP="006261C2">
      <w:pPr>
        <w:autoSpaceDE w:val="0"/>
        <w:autoSpaceDN w:val="0"/>
        <w:adjustRightInd w:val="0"/>
        <w:spacing w:line="240" w:lineRule="auto"/>
        <w:jc w:val="both"/>
        <w:rPr>
          <w:rFonts w:ascii="Arial" w:eastAsiaTheme="minorHAnsi" w:hAnsi="Arial" w:cs="Arial"/>
          <w:bCs/>
          <w:szCs w:val="20"/>
        </w:rPr>
      </w:pPr>
    </w:p>
    <w:p w:rsidR="00F562A8" w:rsidRDefault="00F562A8" w:rsidP="006261C2">
      <w:pPr>
        <w:autoSpaceDE w:val="0"/>
        <w:autoSpaceDN w:val="0"/>
        <w:adjustRightInd w:val="0"/>
        <w:spacing w:line="240" w:lineRule="auto"/>
        <w:jc w:val="both"/>
        <w:rPr>
          <w:rFonts w:ascii="Arial" w:eastAsiaTheme="minorHAnsi" w:hAnsi="Arial" w:cs="Arial"/>
          <w:bCs/>
          <w:szCs w:val="20"/>
        </w:rPr>
      </w:pPr>
    </w:p>
    <w:p w:rsidR="00F562A8" w:rsidRPr="0027320C" w:rsidRDefault="00F562A8" w:rsidP="00F562A8">
      <w:pPr>
        <w:autoSpaceDE w:val="0"/>
        <w:autoSpaceDN w:val="0"/>
        <w:adjustRightInd w:val="0"/>
        <w:spacing w:line="240" w:lineRule="auto"/>
        <w:jc w:val="both"/>
        <w:rPr>
          <w:rFonts w:ascii="Arial" w:hAnsi="Arial" w:cs="Arial"/>
          <w:b/>
          <w:color w:val="C90081" w:themeColor="accent3"/>
          <w:szCs w:val="20"/>
        </w:rPr>
      </w:pPr>
      <w:r w:rsidRPr="0027320C">
        <w:rPr>
          <w:rFonts w:ascii="Arial" w:hAnsi="Arial" w:cs="Arial"/>
          <w:b/>
          <w:color w:val="C90081" w:themeColor="accent3"/>
          <w:szCs w:val="20"/>
        </w:rPr>
        <w:t>Qu’entend-on par « l’exercice des droits civils qui leur sont reconnus par la loi » ?</w:t>
      </w:r>
    </w:p>
    <w:p w:rsidR="00F562A8" w:rsidRDefault="00F562A8" w:rsidP="006261C2">
      <w:pPr>
        <w:autoSpaceDE w:val="0"/>
        <w:autoSpaceDN w:val="0"/>
        <w:adjustRightInd w:val="0"/>
        <w:spacing w:line="240" w:lineRule="auto"/>
        <w:jc w:val="both"/>
        <w:rPr>
          <w:rFonts w:ascii="Arial" w:eastAsiaTheme="minorHAnsi" w:hAnsi="Arial" w:cs="Arial"/>
          <w:bCs/>
          <w:szCs w:val="20"/>
        </w:rPr>
      </w:pPr>
    </w:p>
    <w:p w:rsidR="00F562A8" w:rsidRDefault="00F562A8" w:rsidP="006261C2">
      <w:pPr>
        <w:autoSpaceDE w:val="0"/>
        <w:autoSpaceDN w:val="0"/>
        <w:adjustRightInd w:val="0"/>
        <w:spacing w:line="240" w:lineRule="auto"/>
        <w:jc w:val="both"/>
        <w:rPr>
          <w:rFonts w:ascii="Arial" w:eastAsiaTheme="minorHAnsi" w:hAnsi="Arial" w:cs="Arial"/>
          <w:bCs/>
          <w:szCs w:val="20"/>
        </w:rPr>
      </w:pPr>
      <w:r>
        <w:t>Les droits civils visent notamment l’ensemble des prérogatives attachées à la personne qui nécessitent la déclaration d’une adresse. Il convient d’entendre essentiellement par « droits civils reconnus par la loi » tels que mentionnés à l’article L. 264-1 du code de l’action sociale et des familles,</w:t>
      </w:r>
      <w:r>
        <w:rPr>
          <w:rStyle w:val="lev"/>
        </w:rPr>
        <w:t xml:space="preserve"> les droits extrapatrimoniaux liés à l'état de la personne (mariage, décès, adoption, tutelle...) pour l'exercice desquels la domiciliation est nécessaire, notamment afin d'effectuer la publicité de certains actes ou d'en accomplir d’autres. </w:t>
      </w:r>
      <w:r w:rsidRPr="0027320C">
        <w:rPr>
          <w:rStyle w:val="lev"/>
          <w:b w:val="0"/>
        </w:rPr>
        <w:t>Le domicile permet également de centraliser des opérations sur la gestion du patrimoine (actes d’administration et de disposition, ouverture de compte bancaire...) et détermine le lieu d'exercice d'une juridiction pour exercer la capacité d'ester en justice ou répondre d'un préjudice devant les tribunaux.</w:t>
      </w:r>
      <w:r>
        <w:rPr>
          <w:rStyle w:val="lev"/>
        </w:rPr>
        <w:t> </w:t>
      </w:r>
    </w:p>
    <w:p w:rsidR="00A7671F" w:rsidRPr="006261C2" w:rsidRDefault="00A7671F" w:rsidP="00A7671F">
      <w:pPr>
        <w:autoSpaceDE w:val="0"/>
        <w:autoSpaceDN w:val="0"/>
        <w:adjustRightInd w:val="0"/>
        <w:spacing w:line="240" w:lineRule="auto"/>
        <w:jc w:val="both"/>
        <w:rPr>
          <w:rFonts w:ascii="Arial" w:eastAsiaTheme="minorHAnsi" w:hAnsi="Arial" w:cs="Arial"/>
          <w:bCs/>
          <w:szCs w:val="20"/>
        </w:rPr>
      </w:pPr>
    </w:p>
    <w:p w:rsidR="00A7671F" w:rsidRPr="00A7671F" w:rsidRDefault="00A7671F" w:rsidP="00703BD6">
      <w:pPr>
        <w:jc w:val="both"/>
        <w:rPr>
          <w:rFonts w:ascii="Arial" w:hAnsi="Arial" w:cs="Arial"/>
          <w:b/>
          <w:color w:val="C90081" w:themeColor="accent3"/>
          <w:szCs w:val="20"/>
        </w:rPr>
      </w:pPr>
      <w:r w:rsidRPr="00A7671F">
        <w:rPr>
          <w:rFonts w:ascii="Arial" w:hAnsi="Arial" w:cs="Arial"/>
          <w:b/>
          <w:color w:val="C90081" w:themeColor="accent3"/>
          <w:szCs w:val="20"/>
        </w:rPr>
        <w:t xml:space="preserve">Quid des ressortissants d'un Etat membre de l'Union Européenne en situation </w:t>
      </w:r>
      <w:r w:rsidR="00983AA0">
        <w:rPr>
          <w:rFonts w:ascii="Arial" w:hAnsi="Arial" w:cs="Arial"/>
          <w:b/>
          <w:color w:val="C90081" w:themeColor="accent3"/>
          <w:szCs w:val="20"/>
        </w:rPr>
        <w:t>ir</w:t>
      </w:r>
      <w:r w:rsidRPr="00A7671F">
        <w:rPr>
          <w:rFonts w:ascii="Arial" w:hAnsi="Arial" w:cs="Arial"/>
          <w:b/>
          <w:color w:val="C90081" w:themeColor="accent3"/>
          <w:szCs w:val="20"/>
        </w:rPr>
        <w:t>régulière ?</w:t>
      </w:r>
    </w:p>
    <w:p w:rsidR="00A7671F" w:rsidRDefault="00A7671F" w:rsidP="00703BD6">
      <w:pPr>
        <w:jc w:val="both"/>
        <w:rPr>
          <w:rFonts w:ascii="Arial" w:hAnsi="Arial" w:cs="Arial"/>
          <w:szCs w:val="20"/>
        </w:rPr>
      </w:pPr>
    </w:p>
    <w:p w:rsidR="00A7671F" w:rsidRDefault="00A7671F" w:rsidP="00703BD6">
      <w:pPr>
        <w:jc w:val="both"/>
        <w:rPr>
          <w:rFonts w:ascii="Arial" w:hAnsi="Arial" w:cs="Arial"/>
          <w:szCs w:val="20"/>
        </w:rPr>
      </w:pPr>
      <w:r w:rsidRPr="00A7671F">
        <w:rPr>
          <w:rFonts w:ascii="Arial" w:hAnsi="Arial" w:cs="Arial"/>
          <w:szCs w:val="20"/>
        </w:rPr>
        <w:t>Les ressortissants communautaires en situation irrégulière et se trouvant sans domicile stable peuvent se voi</w:t>
      </w:r>
      <w:r>
        <w:rPr>
          <w:rFonts w:ascii="Arial" w:hAnsi="Arial" w:cs="Arial"/>
          <w:szCs w:val="20"/>
        </w:rPr>
        <w:t xml:space="preserve">r délivrer l’attestation d'élection de domicile dans les mêmes conditions qu'un </w:t>
      </w:r>
      <w:r w:rsidRPr="00A7671F">
        <w:rPr>
          <w:rFonts w:ascii="Arial" w:hAnsi="Arial" w:cs="Arial"/>
          <w:szCs w:val="20"/>
        </w:rPr>
        <w:t>ressortissant français.</w:t>
      </w:r>
    </w:p>
    <w:p w:rsidR="00703BD6" w:rsidRDefault="00703BD6" w:rsidP="00703BD6">
      <w:pPr>
        <w:jc w:val="both"/>
        <w:rPr>
          <w:rFonts w:ascii="Arial" w:hAnsi="Arial" w:cs="Arial"/>
          <w:szCs w:val="20"/>
        </w:rPr>
      </w:pPr>
    </w:p>
    <w:p w:rsidR="00703BD6" w:rsidRPr="00855C85" w:rsidRDefault="00855C85" w:rsidP="00703BD6">
      <w:pPr>
        <w:autoSpaceDE w:val="0"/>
        <w:autoSpaceDN w:val="0"/>
        <w:adjustRightInd w:val="0"/>
        <w:spacing w:line="240" w:lineRule="auto"/>
        <w:jc w:val="both"/>
        <w:rPr>
          <w:rFonts w:ascii="Arial" w:eastAsiaTheme="minorHAnsi" w:hAnsi="Arial" w:cs="Arial"/>
          <w:b/>
          <w:bCs/>
          <w:color w:val="C90081" w:themeColor="accent3"/>
          <w:szCs w:val="20"/>
        </w:rPr>
      </w:pPr>
      <w:r w:rsidRPr="00855C85">
        <w:rPr>
          <w:rFonts w:ascii="Arial" w:eastAsiaTheme="minorHAnsi" w:hAnsi="Arial" w:cs="Arial"/>
          <w:b/>
          <w:bCs/>
          <w:color w:val="C90081" w:themeColor="accent3"/>
          <w:szCs w:val="20"/>
        </w:rPr>
        <w:t xml:space="preserve">Les CCAS doivent-ils vérifier le droit au séjour des demandeurs ? </w:t>
      </w:r>
    </w:p>
    <w:p w:rsidR="00855C85" w:rsidRDefault="00855C85" w:rsidP="00703BD6">
      <w:pPr>
        <w:autoSpaceDE w:val="0"/>
        <w:autoSpaceDN w:val="0"/>
        <w:adjustRightInd w:val="0"/>
        <w:spacing w:line="240" w:lineRule="auto"/>
        <w:jc w:val="both"/>
        <w:rPr>
          <w:rFonts w:ascii="Arial" w:eastAsiaTheme="minorHAnsi" w:hAnsi="Arial" w:cs="Arial"/>
          <w:bCs/>
          <w:szCs w:val="20"/>
        </w:rPr>
      </w:pPr>
    </w:p>
    <w:p w:rsidR="006D1BD5" w:rsidRDefault="0027320C" w:rsidP="00703BD6">
      <w:pPr>
        <w:autoSpaceDE w:val="0"/>
        <w:autoSpaceDN w:val="0"/>
        <w:adjustRightInd w:val="0"/>
        <w:spacing w:line="240" w:lineRule="auto"/>
        <w:jc w:val="both"/>
        <w:rPr>
          <w:rFonts w:ascii="Arial" w:eastAsiaTheme="minorHAnsi" w:hAnsi="Arial" w:cs="Arial"/>
          <w:bCs/>
          <w:szCs w:val="20"/>
        </w:rPr>
      </w:pPr>
      <w:hyperlink r:id="rId8" w:history="1">
        <w:r w:rsidR="00855C85" w:rsidRPr="00855C85">
          <w:rPr>
            <w:rStyle w:val="Lienhypertexte"/>
            <w:rFonts w:ascii="Arial" w:eastAsiaTheme="minorHAnsi" w:hAnsi="Arial" w:cs="Arial"/>
            <w:bCs/>
            <w:szCs w:val="20"/>
          </w:rPr>
          <w:t>La circulaire</w:t>
        </w:r>
      </w:hyperlink>
      <w:r w:rsidR="00855C85">
        <w:rPr>
          <w:rFonts w:ascii="Arial" w:eastAsiaTheme="minorHAnsi" w:hAnsi="Arial" w:cs="Arial"/>
          <w:bCs/>
          <w:szCs w:val="20"/>
        </w:rPr>
        <w:t xml:space="preserve"> précise </w:t>
      </w:r>
      <w:r w:rsidR="00703BD6" w:rsidRPr="00703BD6">
        <w:rPr>
          <w:rFonts w:ascii="Arial" w:eastAsiaTheme="minorHAnsi" w:hAnsi="Arial" w:cs="Arial"/>
          <w:bCs/>
          <w:szCs w:val="20"/>
        </w:rPr>
        <w:t>que</w:t>
      </w:r>
      <w:r w:rsidR="00855C85">
        <w:rPr>
          <w:rFonts w:ascii="Arial" w:eastAsiaTheme="minorHAnsi" w:hAnsi="Arial" w:cs="Arial"/>
          <w:bCs/>
          <w:szCs w:val="20"/>
        </w:rPr>
        <w:t xml:space="preserve"> cette restriction d'accès au dispositif n'implique pas que</w:t>
      </w:r>
      <w:r w:rsidR="00703BD6" w:rsidRPr="00703BD6">
        <w:rPr>
          <w:rFonts w:ascii="Arial" w:eastAsiaTheme="minorHAnsi" w:hAnsi="Arial" w:cs="Arial"/>
          <w:bCs/>
          <w:szCs w:val="20"/>
        </w:rPr>
        <w:t xml:space="preserve"> les organismes chargés de la domiciliation doivent contrôler le droit a</w:t>
      </w:r>
      <w:r w:rsidR="00703BD6">
        <w:rPr>
          <w:rFonts w:ascii="Arial" w:eastAsiaTheme="minorHAnsi" w:hAnsi="Arial" w:cs="Arial"/>
          <w:bCs/>
          <w:szCs w:val="20"/>
        </w:rPr>
        <w:t xml:space="preserve">u </w:t>
      </w:r>
      <w:r w:rsidR="00703BD6" w:rsidRPr="00703BD6">
        <w:rPr>
          <w:rFonts w:ascii="Arial" w:eastAsiaTheme="minorHAnsi" w:hAnsi="Arial" w:cs="Arial"/>
          <w:bCs/>
          <w:szCs w:val="20"/>
        </w:rPr>
        <w:t>séjour des personnes qui s’adressent à eux.</w:t>
      </w:r>
      <w:r w:rsidR="00855C85">
        <w:rPr>
          <w:rFonts w:ascii="Arial" w:eastAsiaTheme="minorHAnsi" w:hAnsi="Arial" w:cs="Arial"/>
          <w:bCs/>
          <w:szCs w:val="20"/>
        </w:rPr>
        <w:t xml:space="preserve"> </w:t>
      </w:r>
    </w:p>
    <w:p w:rsidR="00855C85" w:rsidRDefault="00855C85" w:rsidP="00703BD6">
      <w:pPr>
        <w:autoSpaceDE w:val="0"/>
        <w:autoSpaceDN w:val="0"/>
        <w:adjustRightInd w:val="0"/>
        <w:spacing w:line="240" w:lineRule="auto"/>
        <w:jc w:val="both"/>
        <w:rPr>
          <w:rFonts w:ascii="Arial" w:eastAsiaTheme="minorHAnsi" w:hAnsi="Arial" w:cs="Arial"/>
          <w:bCs/>
          <w:szCs w:val="20"/>
        </w:rPr>
      </w:pPr>
      <w:r>
        <w:rPr>
          <w:rFonts w:ascii="Arial" w:eastAsiaTheme="minorHAnsi" w:hAnsi="Arial" w:cs="Arial"/>
          <w:bCs/>
          <w:szCs w:val="20"/>
        </w:rPr>
        <w:br/>
        <w:t xml:space="preserve">Le dispositif de domiciliation reposant principalement sur du déclaratif, </w:t>
      </w:r>
      <w:r w:rsidRPr="0027320C">
        <w:rPr>
          <w:rFonts w:ascii="Arial" w:eastAsiaTheme="minorHAnsi" w:hAnsi="Arial" w:cs="Arial"/>
          <w:b/>
          <w:bCs/>
          <w:szCs w:val="20"/>
        </w:rPr>
        <w:t>les CCAS n'ont donc aucune obligation de vérification du droit</w:t>
      </w:r>
      <w:r>
        <w:rPr>
          <w:rFonts w:ascii="Arial" w:eastAsiaTheme="minorHAnsi" w:hAnsi="Arial" w:cs="Arial"/>
          <w:bCs/>
          <w:szCs w:val="20"/>
        </w:rPr>
        <w:t xml:space="preserve"> au séjour des demandeurs de domiciliation avant la remise d'une attestation.</w:t>
      </w:r>
    </w:p>
    <w:p w:rsidR="00703BD6" w:rsidRDefault="00703BD6" w:rsidP="00703BD6">
      <w:pPr>
        <w:spacing w:after="240"/>
        <w:rPr>
          <w:rFonts w:ascii="Arial" w:hAnsi="Arial" w:cs="Arial"/>
          <w:szCs w:val="20"/>
        </w:rPr>
      </w:pPr>
    </w:p>
    <w:p w:rsidR="00261148" w:rsidRDefault="00261148" w:rsidP="00261148">
      <w:pPr>
        <w:spacing w:after="240"/>
        <w:jc w:val="both"/>
        <w:rPr>
          <w:rFonts w:ascii="Arial" w:hAnsi="Arial" w:cs="Arial"/>
          <w:b/>
          <w:color w:val="C90081" w:themeColor="accent3"/>
          <w:szCs w:val="20"/>
        </w:rPr>
      </w:pPr>
      <w:r w:rsidRPr="00261148">
        <w:rPr>
          <w:rFonts w:ascii="Arial" w:hAnsi="Arial" w:cs="Arial"/>
          <w:b/>
          <w:color w:val="C90081" w:themeColor="accent3"/>
          <w:szCs w:val="20"/>
        </w:rPr>
        <w:t xml:space="preserve">Les CCAS doivent-ils refuser les demandes de domiciliation des personnes </w:t>
      </w:r>
      <w:r>
        <w:rPr>
          <w:rFonts w:ascii="Arial" w:hAnsi="Arial" w:cs="Arial"/>
          <w:b/>
          <w:color w:val="C90081" w:themeColor="accent3"/>
          <w:szCs w:val="20"/>
        </w:rPr>
        <w:t xml:space="preserve">au motif qu'elles </w:t>
      </w:r>
      <w:r w:rsidR="00F562A8">
        <w:rPr>
          <w:rFonts w:ascii="Arial" w:hAnsi="Arial" w:cs="Arial"/>
          <w:b/>
          <w:color w:val="C90081" w:themeColor="accent3"/>
          <w:szCs w:val="20"/>
        </w:rPr>
        <w:t>sont sous le coup d’</w:t>
      </w:r>
      <w:r>
        <w:rPr>
          <w:rFonts w:ascii="Arial" w:hAnsi="Arial" w:cs="Arial"/>
          <w:b/>
          <w:color w:val="C90081" w:themeColor="accent3"/>
          <w:szCs w:val="20"/>
        </w:rPr>
        <w:t>une mesure d'OQPF ?</w:t>
      </w:r>
    </w:p>
    <w:p w:rsidR="00261148" w:rsidRPr="00261148" w:rsidRDefault="00261148" w:rsidP="00261148">
      <w:pPr>
        <w:spacing w:after="240"/>
        <w:jc w:val="both"/>
        <w:rPr>
          <w:rFonts w:ascii="Arial" w:hAnsi="Arial" w:cs="Arial"/>
          <w:szCs w:val="20"/>
        </w:rPr>
      </w:pPr>
      <w:r w:rsidRPr="00E71171">
        <w:rPr>
          <w:rFonts w:ascii="Arial" w:hAnsi="Arial" w:cs="Arial"/>
          <w:szCs w:val="20"/>
        </w:rPr>
        <w:t>Les mesures d'éloignement ne font pas parties des motifs de refus inscrits dans la loi. Par ailleurs, ce n'est pas le rôle du CCAS de s'assurer du respect du droit au séjour des demandeurs. Il n'est donc pas possible de refuser la délivrance d'une attestation de domiciliation sur ce seul motif.</w:t>
      </w:r>
    </w:p>
    <w:p w:rsidR="00703BD6" w:rsidRPr="00703BD6" w:rsidRDefault="00703BD6" w:rsidP="00703BD6">
      <w:pPr>
        <w:spacing w:after="240"/>
        <w:rPr>
          <w:rFonts w:ascii="Arial" w:hAnsi="Arial" w:cs="Arial"/>
          <w:b/>
          <w:color w:val="C90081" w:themeColor="accent3"/>
          <w:szCs w:val="20"/>
        </w:rPr>
      </w:pPr>
      <w:r w:rsidRPr="00703BD6">
        <w:rPr>
          <w:rFonts w:ascii="Arial" w:hAnsi="Arial" w:cs="Arial"/>
          <w:b/>
          <w:color w:val="C90081" w:themeColor="accent3"/>
          <w:szCs w:val="20"/>
        </w:rPr>
        <w:t>La durée de l'attestation d'élection de domicile peut-elle être réduite à la date de fin de validité du titre de séjour ?</w:t>
      </w:r>
    </w:p>
    <w:p w:rsidR="00703BD6" w:rsidRPr="006261C2" w:rsidRDefault="006261C2" w:rsidP="00F86505">
      <w:pPr>
        <w:spacing w:after="240"/>
        <w:jc w:val="both"/>
        <w:rPr>
          <w:rFonts w:ascii="Arial" w:hAnsi="Arial" w:cs="Arial"/>
          <w:szCs w:val="20"/>
        </w:rPr>
      </w:pPr>
      <w:r>
        <w:rPr>
          <w:rFonts w:ascii="Arial" w:hAnsi="Arial" w:cs="Arial"/>
          <w:szCs w:val="20"/>
        </w:rPr>
        <w:t xml:space="preserve">La </w:t>
      </w:r>
      <w:r w:rsidR="00703BD6">
        <w:rPr>
          <w:rFonts w:ascii="Arial" w:hAnsi="Arial" w:cs="Arial"/>
          <w:szCs w:val="20"/>
        </w:rPr>
        <w:t>durée de l'élection de domicile est inscrite dans les textes, elle ne peut donc être ramenée à la date limite de fin de validité de la carte de séjour. A l'échéance du titre de séjour, la personne pourra se servir du CERFA</w:t>
      </w:r>
      <w:r w:rsidR="00F562A8">
        <w:rPr>
          <w:rFonts w:ascii="Arial" w:hAnsi="Arial" w:cs="Arial"/>
          <w:szCs w:val="20"/>
        </w:rPr>
        <w:t xml:space="preserve"> d’élection de domicile</w:t>
      </w:r>
      <w:r w:rsidR="00703BD6">
        <w:rPr>
          <w:rFonts w:ascii="Arial" w:hAnsi="Arial" w:cs="Arial"/>
          <w:szCs w:val="20"/>
        </w:rPr>
        <w:t xml:space="preserve"> pour le bénéfice de l'aide juridictionnelle, de l'AME et de droits civils. A défaut, </w:t>
      </w:r>
      <w:r>
        <w:rPr>
          <w:rFonts w:ascii="Arial" w:hAnsi="Arial" w:cs="Arial"/>
          <w:szCs w:val="20"/>
        </w:rPr>
        <w:t>il sera possible de</w:t>
      </w:r>
      <w:r w:rsidR="00703BD6">
        <w:rPr>
          <w:rFonts w:ascii="Arial" w:hAnsi="Arial" w:cs="Arial"/>
          <w:szCs w:val="20"/>
        </w:rPr>
        <w:t xml:space="preserve"> résilier la domiciliation de cette personne, si celle-ci ne s'est pas manifestée durant trois mois consécutifs. </w:t>
      </w:r>
    </w:p>
    <w:p w:rsidR="003B7525" w:rsidRDefault="003B7525" w:rsidP="003B7525">
      <w:pPr>
        <w:autoSpaceDE w:val="0"/>
        <w:autoSpaceDN w:val="0"/>
        <w:adjustRightInd w:val="0"/>
        <w:spacing w:line="240" w:lineRule="auto"/>
        <w:jc w:val="both"/>
        <w:rPr>
          <w:rFonts w:asciiTheme="majorHAnsi" w:eastAsiaTheme="minorHAnsi" w:hAnsiTheme="majorHAnsi" w:cstheme="majorHAnsi"/>
          <w:szCs w:val="20"/>
        </w:rPr>
      </w:pPr>
    </w:p>
    <w:p w:rsidR="003B7525" w:rsidRDefault="003B7525" w:rsidP="003B7525">
      <w:pPr>
        <w:autoSpaceDE w:val="0"/>
        <w:autoSpaceDN w:val="0"/>
        <w:adjustRightInd w:val="0"/>
        <w:spacing w:line="240" w:lineRule="auto"/>
        <w:jc w:val="both"/>
        <w:rPr>
          <w:rFonts w:asciiTheme="majorHAnsi" w:eastAsiaTheme="minorHAnsi" w:hAnsiTheme="majorHAnsi" w:cstheme="majorHAnsi"/>
          <w:szCs w:val="20"/>
          <w:highlight w:val="yellow"/>
        </w:rPr>
      </w:pPr>
      <w:r>
        <w:rPr>
          <w:rFonts w:asciiTheme="majorHAnsi" w:eastAsiaTheme="minorHAnsi" w:hAnsiTheme="majorHAnsi" w:cstheme="majorHAnsi"/>
          <w:szCs w:val="20"/>
        </w:rPr>
        <w:t xml:space="preserve">Pour aller plus loin : </w:t>
      </w:r>
      <w:r>
        <w:rPr>
          <w:rFonts w:asciiTheme="majorHAnsi" w:eastAsiaTheme="minorHAnsi" w:hAnsiTheme="majorHAnsi" w:cstheme="majorHAnsi"/>
          <w:szCs w:val="20"/>
          <w:highlight w:val="yellow"/>
        </w:rPr>
        <w:t>la « boite à outils » domiciliation de l’UNCCAS</w:t>
      </w:r>
    </w:p>
    <w:p w:rsidR="006261C2" w:rsidRPr="006D1BD5" w:rsidRDefault="006261C2" w:rsidP="00703BD6">
      <w:pPr>
        <w:autoSpaceDE w:val="0"/>
        <w:autoSpaceDN w:val="0"/>
        <w:adjustRightInd w:val="0"/>
        <w:spacing w:line="240" w:lineRule="auto"/>
        <w:jc w:val="both"/>
        <w:rPr>
          <w:rFonts w:ascii="Arial" w:eastAsiaTheme="minorHAnsi" w:hAnsi="Arial" w:cs="Arial"/>
          <w:bCs/>
          <w:szCs w:val="20"/>
        </w:rPr>
      </w:pPr>
    </w:p>
    <w:sectPr w:rsidR="006261C2" w:rsidRPr="006D1BD5" w:rsidSect="00840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6BBB"/>
    <w:multiLevelType w:val="multilevel"/>
    <w:tmpl w:val="70FCD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85BCD"/>
    <w:multiLevelType w:val="multilevel"/>
    <w:tmpl w:val="41361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906FEC"/>
    <w:multiLevelType w:val="hybridMultilevel"/>
    <w:tmpl w:val="DE1803BE"/>
    <w:lvl w:ilvl="0" w:tplc="395869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5E7402"/>
    <w:multiLevelType w:val="hybridMultilevel"/>
    <w:tmpl w:val="73A2B262"/>
    <w:lvl w:ilvl="0" w:tplc="3958696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F635C8"/>
    <w:multiLevelType w:val="hybridMultilevel"/>
    <w:tmpl w:val="9BD22E92"/>
    <w:lvl w:ilvl="0" w:tplc="1E7E4A1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CF7355"/>
    <w:multiLevelType w:val="hybridMultilevel"/>
    <w:tmpl w:val="8E22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581B19"/>
    <w:multiLevelType w:val="hybridMultilevel"/>
    <w:tmpl w:val="AEE4D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033677"/>
    <w:multiLevelType w:val="multilevel"/>
    <w:tmpl w:val="42E8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D915A4"/>
    <w:multiLevelType w:val="hybridMultilevel"/>
    <w:tmpl w:val="841249A4"/>
    <w:lvl w:ilvl="0" w:tplc="64661576">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2"/>
  </w:num>
  <w:num w:numId="5">
    <w:abstractNumId w:val="5"/>
  </w:num>
  <w:num w:numId="6">
    <w:abstractNumId w:val="3"/>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C3948"/>
    <w:rsid w:val="000075EC"/>
    <w:rsid w:val="00017B99"/>
    <w:rsid w:val="00024A4D"/>
    <w:rsid w:val="00033F43"/>
    <w:rsid w:val="00034065"/>
    <w:rsid w:val="00046B9F"/>
    <w:rsid w:val="00047D60"/>
    <w:rsid w:val="00054B0F"/>
    <w:rsid w:val="00056317"/>
    <w:rsid w:val="00062F9F"/>
    <w:rsid w:val="00065BE4"/>
    <w:rsid w:val="0007033D"/>
    <w:rsid w:val="000C02F4"/>
    <w:rsid w:val="000E24E7"/>
    <w:rsid w:val="000E77D7"/>
    <w:rsid w:val="000E7F31"/>
    <w:rsid w:val="0013330B"/>
    <w:rsid w:val="00135CBC"/>
    <w:rsid w:val="0014305C"/>
    <w:rsid w:val="0014351C"/>
    <w:rsid w:val="001438EF"/>
    <w:rsid w:val="001544BF"/>
    <w:rsid w:val="00160156"/>
    <w:rsid w:val="00195208"/>
    <w:rsid w:val="001A3151"/>
    <w:rsid w:val="001A66D4"/>
    <w:rsid w:val="001B30BC"/>
    <w:rsid w:val="001E3B0D"/>
    <w:rsid w:val="001F578B"/>
    <w:rsid w:val="0020479D"/>
    <w:rsid w:val="002301BC"/>
    <w:rsid w:val="002309EB"/>
    <w:rsid w:val="00235B9F"/>
    <w:rsid w:val="00243649"/>
    <w:rsid w:val="00247AAD"/>
    <w:rsid w:val="00261148"/>
    <w:rsid w:val="0027320C"/>
    <w:rsid w:val="00281B10"/>
    <w:rsid w:val="0028242A"/>
    <w:rsid w:val="00284D5A"/>
    <w:rsid w:val="002850C9"/>
    <w:rsid w:val="002A08D6"/>
    <w:rsid w:val="002B4277"/>
    <w:rsid w:val="002C3948"/>
    <w:rsid w:val="002D72C9"/>
    <w:rsid w:val="00301E8E"/>
    <w:rsid w:val="00316E25"/>
    <w:rsid w:val="003463E8"/>
    <w:rsid w:val="003531CE"/>
    <w:rsid w:val="0037397F"/>
    <w:rsid w:val="00384E89"/>
    <w:rsid w:val="00390955"/>
    <w:rsid w:val="003938EA"/>
    <w:rsid w:val="003B7525"/>
    <w:rsid w:val="003C1206"/>
    <w:rsid w:val="003E4E01"/>
    <w:rsid w:val="00400787"/>
    <w:rsid w:val="00406539"/>
    <w:rsid w:val="004123DE"/>
    <w:rsid w:val="00416C95"/>
    <w:rsid w:val="00446667"/>
    <w:rsid w:val="0044685C"/>
    <w:rsid w:val="004607CB"/>
    <w:rsid w:val="00467045"/>
    <w:rsid w:val="00482952"/>
    <w:rsid w:val="004937A5"/>
    <w:rsid w:val="004C4356"/>
    <w:rsid w:val="004D73B7"/>
    <w:rsid w:val="00504060"/>
    <w:rsid w:val="00505121"/>
    <w:rsid w:val="0052437D"/>
    <w:rsid w:val="00526992"/>
    <w:rsid w:val="00542317"/>
    <w:rsid w:val="005B019B"/>
    <w:rsid w:val="005B504D"/>
    <w:rsid w:val="005C7FD5"/>
    <w:rsid w:val="005F02B8"/>
    <w:rsid w:val="006248F5"/>
    <w:rsid w:val="006261C2"/>
    <w:rsid w:val="006369D5"/>
    <w:rsid w:val="00653ECC"/>
    <w:rsid w:val="00656003"/>
    <w:rsid w:val="00670271"/>
    <w:rsid w:val="006765FC"/>
    <w:rsid w:val="006B053A"/>
    <w:rsid w:val="006C126B"/>
    <w:rsid w:val="006D1BD5"/>
    <w:rsid w:val="006D23FC"/>
    <w:rsid w:val="006D5B2C"/>
    <w:rsid w:val="006F681F"/>
    <w:rsid w:val="00702D4F"/>
    <w:rsid w:val="00703BD6"/>
    <w:rsid w:val="0070659F"/>
    <w:rsid w:val="00743B1B"/>
    <w:rsid w:val="0076042C"/>
    <w:rsid w:val="00763E3A"/>
    <w:rsid w:val="00766736"/>
    <w:rsid w:val="0077188A"/>
    <w:rsid w:val="00772AD2"/>
    <w:rsid w:val="007866F8"/>
    <w:rsid w:val="007B1057"/>
    <w:rsid w:val="007B3894"/>
    <w:rsid w:val="007B5681"/>
    <w:rsid w:val="007C4501"/>
    <w:rsid w:val="007D152C"/>
    <w:rsid w:val="007D1AF6"/>
    <w:rsid w:val="007F69E7"/>
    <w:rsid w:val="0080219C"/>
    <w:rsid w:val="0081486D"/>
    <w:rsid w:val="00826AF9"/>
    <w:rsid w:val="00835D4B"/>
    <w:rsid w:val="00840F3A"/>
    <w:rsid w:val="00855C85"/>
    <w:rsid w:val="008621EC"/>
    <w:rsid w:val="008946D7"/>
    <w:rsid w:val="008F1EF7"/>
    <w:rsid w:val="00900A25"/>
    <w:rsid w:val="00930A1A"/>
    <w:rsid w:val="00937B82"/>
    <w:rsid w:val="009538B6"/>
    <w:rsid w:val="009712AB"/>
    <w:rsid w:val="00983AA0"/>
    <w:rsid w:val="009A1D52"/>
    <w:rsid w:val="009A2A71"/>
    <w:rsid w:val="009B7914"/>
    <w:rsid w:val="009C3923"/>
    <w:rsid w:val="009D43D8"/>
    <w:rsid w:val="009D43E5"/>
    <w:rsid w:val="009D7F1E"/>
    <w:rsid w:val="009E144B"/>
    <w:rsid w:val="009E322C"/>
    <w:rsid w:val="009F76D7"/>
    <w:rsid w:val="00A24817"/>
    <w:rsid w:val="00A475F8"/>
    <w:rsid w:val="00A7671F"/>
    <w:rsid w:val="00AA3504"/>
    <w:rsid w:val="00AB0919"/>
    <w:rsid w:val="00AC5F9D"/>
    <w:rsid w:val="00AD38C2"/>
    <w:rsid w:val="00AF14ED"/>
    <w:rsid w:val="00B22AB4"/>
    <w:rsid w:val="00B326A7"/>
    <w:rsid w:val="00B41A49"/>
    <w:rsid w:val="00B445CD"/>
    <w:rsid w:val="00B44EB1"/>
    <w:rsid w:val="00B529D8"/>
    <w:rsid w:val="00B60146"/>
    <w:rsid w:val="00B83527"/>
    <w:rsid w:val="00BA0CA5"/>
    <w:rsid w:val="00BD5C96"/>
    <w:rsid w:val="00BF2A78"/>
    <w:rsid w:val="00C00021"/>
    <w:rsid w:val="00C0223F"/>
    <w:rsid w:val="00C255B5"/>
    <w:rsid w:val="00C257E4"/>
    <w:rsid w:val="00C661E6"/>
    <w:rsid w:val="00C854EC"/>
    <w:rsid w:val="00CC6438"/>
    <w:rsid w:val="00D041AC"/>
    <w:rsid w:val="00D21151"/>
    <w:rsid w:val="00D44954"/>
    <w:rsid w:val="00D5032C"/>
    <w:rsid w:val="00D76912"/>
    <w:rsid w:val="00DA1A97"/>
    <w:rsid w:val="00DA24F3"/>
    <w:rsid w:val="00DA7DAD"/>
    <w:rsid w:val="00DB28DF"/>
    <w:rsid w:val="00DC4160"/>
    <w:rsid w:val="00DE6B10"/>
    <w:rsid w:val="00E120E1"/>
    <w:rsid w:val="00E20BCD"/>
    <w:rsid w:val="00E21985"/>
    <w:rsid w:val="00E66447"/>
    <w:rsid w:val="00E71171"/>
    <w:rsid w:val="00E93B3C"/>
    <w:rsid w:val="00EA72A5"/>
    <w:rsid w:val="00EB1489"/>
    <w:rsid w:val="00EB6907"/>
    <w:rsid w:val="00EC30FD"/>
    <w:rsid w:val="00EC5BE1"/>
    <w:rsid w:val="00EE2DB8"/>
    <w:rsid w:val="00F02717"/>
    <w:rsid w:val="00F118D3"/>
    <w:rsid w:val="00F23BFB"/>
    <w:rsid w:val="00F562A8"/>
    <w:rsid w:val="00F6230A"/>
    <w:rsid w:val="00F63174"/>
    <w:rsid w:val="00F86505"/>
    <w:rsid w:val="00FB1744"/>
    <w:rsid w:val="00FB3770"/>
    <w:rsid w:val="00FB571D"/>
    <w:rsid w:val="00FC1F4F"/>
    <w:rsid w:val="00FD63FF"/>
    <w:rsid w:val="00FE66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85F55-3F1E-42BF-AF49-F898058A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3948"/>
    <w:pPr>
      <w:spacing w:line="276" w:lineRule="auto"/>
    </w:pPr>
    <w:rPr>
      <w:rFonts w:asciiTheme="minorHAnsi" w:eastAsiaTheme="minorEastAsia" w:hAnsiTheme="minorHAnsi" w:cstheme="minorBidi"/>
      <w:sz w:val="20"/>
    </w:rPr>
  </w:style>
  <w:style w:type="paragraph" w:styleId="Titre1">
    <w:name w:val="heading 1"/>
    <w:basedOn w:val="Normal"/>
    <w:next w:val="Normal"/>
    <w:link w:val="Titre1Car"/>
    <w:uiPriority w:val="9"/>
    <w:qFormat/>
    <w:rsid w:val="00B326A7"/>
    <w:pPr>
      <w:spacing w:line="240" w:lineRule="auto"/>
      <w:ind w:firstLine="142"/>
      <w:jc w:val="center"/>
      <w:outlineLvl w:val="0"/>
    </w:pPr>
    <w:rPr>
      <w:rFonts w:asciiTheme="majorHAnsi" w:eastAsiaTheme="minorHAnsi" w:hAnsiTheme="majorHAnsi" w:cs="Arial"/>
      <w:b/>
      <w:color w:val="005B99" w:themeColor="accent1"/>
      <w:sz w:val="24"/>
      <w:szCs w:val="24"/>
    </w:rPr>
  </w:style>
  <w:style w:type="paragraph" w:styleId="Titre2">
    <w:name w:val="heading 2"/>
    <w:basedOn w:val="Normal"/>
    <w:next w:val="Normal"/>
    <w:link w:val="Titre2Car"/>
    <w:uiPriority w:val="9"/>
    <w:qFormat/>
    <w:rsid w:val="00B326A7"/>
    <w:pPr>
      <w:keepNext/>
      <w:spacing w:before="240" w:after="60"/>
      <w:jc w:val="both"/>
      <w:outlineLvl w:val="1"/>
    </w:pPr>
    <w:rPr>
      <w:rFonts w:ascii="Arial" w:eastAsiaTheme="minorHAnsi" w:hAnsi="Arial" w:cs="Arial"/>
      <w:b/>
      <w:bCs/>
      <w:iCs/>
      <w:color w:val="C90081" w:themeColor="accent3"/>
      <w:sz w:val="22"/>
      <w:szCs w:val="28"/>
    </w:rPr>
  </w:style>
  <w:style w:type="paragraph" w:styleId="Titre3">
    <w:name w:val="heading 3"/>
    <w:basedOn w:val="Titre2"/>
    <w:next w:val="Normal"/>
    <w:link w:val="Titre3Car"/>
    <w:uiPriority w:val="9"/>
    <w:qFormat/>
    <w:rsid w:val="00B326A7"/>
    <w:pPr>
      <w:spacing w:line="360" w:lineRule="auto"/>
      <w:ind w:left="589" w:hanging="589"/>
      <w:outlineLvl w:val="2"/>
    </w:pPr>
    <w:rPr>
      <w:rFonts w:asciiTheme="majorHAnsi" w:hAnsiTheme="majorHAnsi"/>
      <w:b w:val="0"/>
      <w:color w:val="005B99" w:themeColor="accent1"/>
      <w:sz w:val="20"/>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26A7"/>
    <w:rPr>
      <w:rFonts w:asciiTheme="majorHAnsi" w:hAnsiTheme="majorHAnsi" w:cs="Arial"/>
      <w:b/>
      <w:color w:val="005B99" w:themeColor="accent1"/>
      <w:sz w:val="24"/>
      <w:szCs w:val="24"/>
    </w:rPr>
  </w:style>
  <w:style w:type="character" w:customStyle="1" w:styleId="Titre2Car">
    <w:name w:val="Titre 2 Car"/>
    <w:basedOn w:val="Policepardfaut"/>
    <w:link w:val="Titre2"/>
    <w:uiPriority w:val="9"/>
    <w:rsid w:val="00B326A7"/>
    <w:rPr>
      <w:rFonts w:ascii="Arial" w:hAnsi="Arial" w:cs="Arial"/>
      <w:b/>
      <w:bCs/>
      <w:iCs/>
      <w:color w:val="C90081" w:themeColor="accent3"/>
      <w:szCs w:val="28"/>
    </w:rPr>
  </w:style>
  <w:style w:type="character" w:customStyle="1" w:styleId="Titre3Car">
    <w:name w:val="Titre 3 Car"/>
    <w:basedOn w:val="Policepardfaut"/>
    <w:link w:val="Titre3"/>
    <w:uiPriority w:val="9"/>
    <w:rsid w:val="00B326A7"/>
    <w:rPr>
      <w:rFonts w:asciiTheme="majorHAnsi" w:hAnsiTheme="majorHAnsi" w:cs="Arial"/>
      <w:bCs/>
      <w:iCs/>
      <w:color w:val="005B99" w:themeColor="accent1"/>
      <w:sz w:val="20"/>
      <w:u w:val="single"/>
    </w:rPr>
  </w:style>
  <w:style w:type="paragraph" w:styleId="Sous-titre">
    <w:name w:val="Subtitle"/>
    <w:basedOn w:val="Normal"/>
    <w:next w:val="Normal"/>
    <w:link w:val="Sous-titreCar"/>
    <w:uiPriority w:val="11"/>
    <w:qFormat/>
    <w:rsid w:val="00B326A7"/>
    <w:pPr>
      <w:numPr>
        <w:ilvl w:val="1"/>
      </w:numPr>
    </w:pPr>
    <w:rPr>
      <w:rFonts w:asciiTheme="majorHAnsi" w:eastAsiaTheme="majorEastAsia" w:hAnsiTheme="majorHAnsi" w:cstheme="majorBidi"/>
      <w:i/>
      <w:iCs/>
      <w:color w:val="005B99" w:themeColor="accent1"/>
      <w:spacing w:val="15"/>
      <w:sz w:val="24"/>
      <w:szCs w:val="24"/>
    </w:rPr>
  </w:style>
  <w:style w:type="character" w:customStyle="1" w:styleId="Sous-titreCar">
    <w:name w:val="Sous-titre Car"/>
    <w:basedOn w:val="Policepardfaut"/>
    <w:link w:val="Sous-titre"/>
    <w:uiPriority w:val="11"/>
    <w:rsid w:val="00B326A7"/>
    <w:rPr>
      <w:rFonts w:asciiTheme="majorHAnsi" w:eastAsiaTheme="majorEastAsia" w:hAnsiTheme="majorHAnsi" w:cstheme="majorBidi"/>
      <w:i/>
      <w:iCs/>
      <w:color w:val="005B99" w:themeColor="accent1"/>
      <w:spacing w:val="15"/>
      <w:sz w:val="24"/>
      <w:szCs w:val="24"/>
    </w:rPr>
  </w:style>
  <w:style w:type="character" w:styleId="lev">
    <w:name w:val="Strong"/>
    <w:basedOn w:val="Policepardfaut"/>
    <w:uiPriority w:val="22"/>
    <w:qFormat/>
    <w:rsid w:val="00B326A7"/>
    <w:rPr>
      <w:rFonts w:cs="Times New Roman"/>
      <w:b/>
      <w:bCs/>
    </w:rPr>
  </w:style>
  <w:style w:type="character" w:styleId="Accentuation">
    <w:name w:val="Emphasis"/>
    <w:basedOn w:val="Policepardfaut"/>
    <w:uiPriority w:val="20"/>
    <w:qFormat/>
    <w:rsid w:val="00B326A7"/>
    <w:rPr>
      <w:rFonts w:cs="Times New Roman"/>
      <w:i/>
      <w:iCs/>
    </w:rPr>
  </w:style>
  <w:style w:type="paragraph" w:styleId="Sansinterligne">
    <w:name w:val="No Spacing"/>
    <w:uiPriority w:val="1"/>
    <w:qFormat/>
    <w:rsid w:val="00B326A7"/>
    <w:rPr>
      <w:rFonts w:asciiTheme="minorHAnsi" w:hAnsiTheme="minorHAnsi"/>
      <w:sz w:val="20"/>
      <w:szCs w:val="24"/>
    </w:rPr>
  </w:style>
  <w:style w:type="paragraph" w:styleId="Paragraphedeliste">
    <w:name w:val="List Paragraph"/>
    <w:basedOn w:val="Normal"/>
    <w:link w:val="ParagraphedelisteCar"/>
    <w:uiPriority w:val="34"/>
    <w:qFormat/>
    <w:rsid w:val="00B326A7"/>
    <w:pPr>
      <w:numPr>
        <w:numId w:val="1"/>
      </w:numPr>
    </w:pPr>
    <w:rPr>
      <w:rFonts w:eastAsiaTheme="minorHAnsi" w:cstheme="minorHAnsi"/>
      <w:szCs w:val="24"/>
    </w:rPr>
  </w:style>
  <w:style w:type="character" w:customStyle="1" w:styleId="ParagraphedelisteCar">
    <w:name w:val="Paragraphe de liste Car"/>
    <w:basedOn w:val="Policepardfaut"/>
    <w:link w:val="Paragraphedeliste"/>
    <w:uiPriority w:val="34"/>
    <w:locked/>
    <w:rsid w:val="00B326A7"/>
    <w:rPr>
      <w:rFonts w:asciiTheme="minorHAnsi" w:hAnsiTheme="minorHAnsi" w:cstheme="minorHAnsi"/>
      <w:sz w:val="20"/>
      <w:szCs w:val="24"/>
    </w:rPr>
  </w:style>
  <w:style w:type="character" w:styleId="Titredulivre">
    <w:name w:val="Book Title"/>
    <w:basedOn w:val="Policepardfaut"/>
    <w:uiPriority w:val="33"/>
    <w:qFormat/>
    <w:rsid w:val="00B326A7"/>
    <w:rPr>
      <w:b/>
      <w:bCs/>
      <w:smallCaps/>
      <w:spacing w:val="5"/>
    </w:rPr>
  </w:style>
  <w:style w:type="paragraph" w:customStyle="1" w:styleId="Paragraphedeliste1">
    <w:name w:val="Paragraphe de liste1"/>
    <w:basedOn w:val="Normal"/>
    <w:qFormat/>
    <w:rsid w:val="00B326A7"/>
    <w:pPr>
      <w:contextualSpacing/>
    </w:pPr>
    <w:rPr>
      <w:rFonts w:ascii="Arial" w:eastAsia="PMingLiU" w:hAnsi="Arial" w:cs="Arial"/>
      <w:lang w:eastAsia="zh-TW" w:bidi="he-IL"/>
    </w:rPr>
  </w:style>
  <w:style w:type="character" w:styleId="Lienhypertexte">
    <w:name w:val="Hyperlink"/>
    <w:basedOn w:val="Policepardfaut"/>
    <w:uiPriority w:val="99"/>
    <w:unhideWhenUsed/>
    <w:rsid w:val="002C3948"/>
    <w:rPr>
      <w:color w:val="0000FF" w:themeColor="hyperlink"/>
      <w:u w:val="single"/>
    </w:rPr>
  </w:style>
  <w:style w:type="character" w:styleId="Lienhypertextesuivivisit">
    <w:name w:val="FollowedHyperlink"/>
    <w:basedOn w:val="Policepardfaut"/>
    <w:uiPriority w:val="99"/>
    <w:semiHidden/>
    <w:unhideWhenUsed/>
    <w:rsid w:val="001B30BC"/>
    <w:rPr>
      <w:color w:val="800080" w:themeColor="followedHyperlink"/>
      <w:u w:val="single"/>
    </w:rPr>
  </w:style>
  <w:style w:type="paragraph" w:styleId="NormalWeb">
    <w:name w:val="Normal (Web)"/>
    <w:basedOn w:val="Normal"/>
    <w:uiPriority w:val="99"/>
    <w:semiHidden/>
    <w:unhideWhenUsed/>
    <w:rsid w:val="006D1B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DB28DF"/>
    <w:rPr>
      <w:sz w:val="16"/>
      <w:szCs w:val="16"/>
    </w:rPr>
  </w:style>
  <w:style w:type="paragraph" w:styleId="Commentaire">
    <w:name w:val="annotation text"/>
    <w:basedOn w:val="Normal"/>
    <w:link w:val="CommentaireCar"/>
    <w:uiPriority w:val="99"/>
    <w:semiHidden/>
    <w:unhideWhenUsed/>
    <w:rsid w:val="00DB28DF"/>
    <w:pPr>
      <w:spacing w:line="240" w:lineRule="auto"/>
    </w:pPr>
    <w:rPr>
      <w:szCs w:val="20"/>
    </w:rPr>
  </w:style>
  <w:style w:type="character" w:customStyle="1" w:styleId="CommentaireCar">
    <w:name w:val="Commentaire Car"/>
    <w:basedOn w:val="Policepardfaut"/>
    <w:link w:val="Commentaire"/>
    <w:uiPriority w:val="99"/>
    <w:semiHidden/>
    <w:rsid w:val="00DB28DF"/>
    <w:rPr>
      <w:rFonts w:asciiTheme="minorHAnsi" w:eastAsiaTheme="minorEastAsia"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DB28DF"/>
    <w:rPr>
      <w:b/>
      <w:bCs/>
    </w:rPr>
  </w:style>
  <w:style w:type="character" w:customStyle="1" w:styleId="ObjetducommentaireCar">
    <w:name w:val="Objet du commentaire Car"/>
    <w:basedOn w:val="CommentaireCar"/>
    <w:link w:val="Objetducommentaire"/>
    <w:uiPriority w:val="99"/>
    <w:semiHidden/>
    <w:rsid w:val="00DB28DF"/>
    <w:rPr>
      <w:rFonts w:asciiTheme="minorHAnsi" w:eastAsiaTheme="minorEastAsia" w:hAnsiTheme="minorHAnsi" w:cstheme="minorBidi"/>
      <w:b/>
      <w:bCs/>
      <w:sz w:val="20"/>
      <w:szCs w:val="20"/>
    </w:rPr>
  </w:style>
  <w:style w:type="paragraph" w:styleId="Textedebulles">
    <w:name w:val="Balloon Text"/>
    <w:basedOn w:val="Normal"/>
    <w:link w:val="TextedebullesCar"/>
    <w:uiPriority w:val="99"/>
    <w:semiHidden/>
    <w:unhideWhenUsed/>
    <w:rsid w:val="00DB28D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28D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5016">
      <w:bodyDiv w:val="1"/>
      <w:marLeft w:val="0"/>
      <w:marRight w:val="0"/>
      <w:marTop w:val="0"/>
      <w:marBottom w:val="0"/>
      <w:divBdr>
        <w:top w:val="none" w:sz="0" w:space="0" w:color="auto"/>
        <w:left w:val="none" w:sz="0" w:space="0" w:color="auto"/>
        <w:bottom w:val="none" w:sz="0" w:space="0" w:color="auto"/>
        <w:right w:val="none" w:sz="0" w:space="0" w:color="auto"/>
      </w:divBdr>
    </w:div>
    <w:div w:id="224605220">
      <w:bodyDiv w:val="1"/>
      <w:marLeft w:val="0"/>
      <w:marRight w:val="0"/>
      <w:marTop w:val="0"/>
      <w:marBottom w:val="0"/>
      <w:divBdr>
        <w:top w:val="none" w:sz="0" w:space="0" w:color="auto"/>
        <w:left w:val="none" w:sz="0" w:space="0" w:color="auto"/>
        <w:bottom w:val="none" w:sz="0" w:space="0" w:color="auto"/>
        <w:right w:val="none" w:sz="0" w:space="0" w:color="auto"/>
      </w:divBdr>
    </w:div>
    <w:div w:id="371199598">
      <w:bodyDiv w:val="1"/>
      <w:marLeft w:val="0"/>
      <w:marRight w:val="0"/>
      <w:marTop w:val="0"/>
      <w:marBottom w:val="0"/>
      <w:divBdr>
        <w:top w:val="none" w:sz="0" w:space="0" w:color="auto"/>
        <w:left w:val="none" w:sz="0" w:space="0" w:color="auto"/>
        <w:bottom w:val="none" w:sz="0" w:space="0" w:color="auto"/>
        <w:right w:val="none" w:sz="0" w:space="0" w:color="auto"/>
      </w:divBdr>
    </w:div>
    <w:div w:id="621499937">
      <w:bodyDiv w:val="1"/>
      <w:marLeft w:val="0"/>
      <w:marRight w:val="0"/>
      <w:marTop w:val="0"/>
      <w:marBottom w:val="0"/>
      <w:divBdr>
        <w:top w:val="none" w:sz="0" w:space="0" w:color="auto"/>
        <w:left w:val="none" w:sz="0" w:space="0" w:color="auto"/>
        <w:bottom w:val="none" w:sz="0" w:space="0" w:color="auto"/>
        <w:right w:val="none" w:sz="0" w:space="0" w:color="auto"/>
      </w:divBdr>
    </w:div>
    <w:div w:id="1021980653">
      <w:bodyDiv w:val="1"/>
      <w:marLeft w:val="0"/>
      <w:marRight w:val="0"/>
      <w:marTop w:val="0"/>
      <w:marBottom w:val="0"/>
      <w:divBdr>
        <w:top w:val="none" w:sz="0" w:space="0" w:color="auto"/>
        <w:left w:val="none" w:sz="0" w:space="0" w:color="auto"/>
        <w:bottom w:val="none" w:sz="0" w:space="0" w:color="auto"/>
        <w:right w:val="none" w:sz="0" w:space="0" w:color="auto"/>
      </w:divBdr>
    </w:div>
    <w:div w:id="1184827711">
      <w:bodyDiv w:val="1"/>
      <w:marLeft w:val="0"/>
      <w:marRight w:val="0"/>
      <w:marTop w:val="0"/>
      <w:marBottom w:val="0"/>
      <w:divBdr>
        <w:top w:val="none" w:sz="0" w:space="0" w:color="auto"/>
        <w:left w:val="none" w:sz="0" w:space="0" w:color="auto"/>
        <w:bottom w:val="none" w:sz="0" w:space="0" w:color="auto"/>
        <w:right w:val="none" w:sz="0" w:space="0" w:color="auto"/>
      </w:divBdr>
    </w:div>
    <w:div w:id="1414815892">
      <w:bodyDiv w:val="1"/>
      <w:marLeft w:val="0"/>
      <w:marRight w:val="0"/>
      <w:marTop w:val="0"/>
      <w:marBottom w:val="0"/>
      <w:divBdr>
        <w:top w:val="none" w:sz="0" w:space="0" w:color="auto"/>
        <w:left w:val="none" w:sz="0" w:space="0" w:color="auto"/>
        <w:bottom w:val="none" w:sz="0" w:space="0" w:color="auto"/>
        <w:right w:val="none" w:sz="0" w:space="0" w:color="auto"/>
      </w:divBdr>
    </w:div>
    <w:div w:id="1567256221">
      <w:bodyDiv w:val="1"/>
      <w:marLeft w:val="0"/>
      <w:marRight w:val="0"/>
      <w:marTop w:val="0"/>
      <w:marBottom w:val="0"/>
      <w:divBdr>
        <w:top w:val="none" w:sz="0" w:space="0" w:color="auto"/>
        <w:left w:val="none" w:sz="0" w:space="0" w:color="auto"/>
        <w:bottom w:val="none" w:sz="0" w:space="0" w:color="auto"/>
        <w:right w:val="none" w:sz="0" w:space="0" w:color="auto"/>
      </w:divBdr>
    </w:div>
    <w:div w:id="1628660328">
      <w:bodyDiv w:val="1"/>
      <w:marLeft w:val="0"/>
      <w:marRight w:val="0"/>
      <w:marTop w:val="0"/>
      <w:marBottom w:val="0"/>
      <w:divBdr>
        <w:top w:val="none" w:sz="0" w:space="0" w:color="auto"/>
        <w:left w:val="none" w:sz="0" w:space="0" w:color="auto"/>
        <w:bottom w:val="none" w:sz="0" w:space="0" w:color="auto"/>
        <w:right w:val="none" w:sz="0" w:space="0" w:color="auto"/>
      </w:divBdr>
    </w:div>
    <w:div w:id="1897354527">
      <w:bodyDiv w:val="1"/>
      <w:marLeft w:val="0"/>
      <w:marRight w:val="0"/>
      <w:marTop w:val="0"/>
      <w:marBottom w:val="0"/>
      <w:divBdr>
        <w:top w:val="none" w:sz="0" w:space="0" w:color="auto"/>
        <w:left w:val="none" w:sz="0" w:space="0" w:color="auto"/>
        <w:bottom w:val="none" w:sz="0" w:space="0" w:color="auto"/>
        <w:right w:val="none" w:sz="0" w:space="0" w:color="auto"/>
      </w:divBdr>
    </w:div>
    <w:div w:id="194564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rculaires.legifrance.gouv.fr/pdf/2016/07/cir_41117.pdf" TargetMode="External"/><Relationship Id="rId3" Type="http://schemas.openxmlformats.org/officeDocument/2006/relationships/settings" Target="settings.xml"/><Relationship Id="rId7" Type="http://schemas.openxmlformats.org/officeDocument/2006/relationships/hyperlink" Target="https://www.legifrance.gouv.fr/affichCodeArticle.do?idArticle=LEGIARTI000006797344&amp;cidTexte=LEGITEXT0000060740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france.gouv.fr/affichCodeArticle.do?idArticle=LEGIARTI000006797344&amp;cidTexte=LEGITEXT00000607406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UNCCAS">
      <a:dk1>
        <a:sysClr val="windowText" lastClr="000000"/>
      </a:dk1>
      <a:lt1>
        <a:sysClr val="window" lastClr="FFFFFF"/>
      </a:lt1>
      <a:dk2>
        <a:srgbClr val="1F497D"/>
      </a:dk2>
      <a:lt2>
        <a:srgbClr val="EEECE1"/>
      </a:lt2>
      <a:accent1>
        <a:srgbClr val="005B99"/>
      </a:accent1>
      <a:accent2>
        <a:srgbClr val="FFC61E"/>
      </a:accent2>
      <a:accent3>
        <a:srgbClr val="C90081"/>
      </a:accent3>
      <a:accent4>
        <a:srgbClr val="56AA1C"/>
      </a:accent4>
      <a:accent5>
        <a:srgbClr val="F77F00"/>
      </a:accent5>
      <a:accent6>
        <a:srgbClr val="00A6EB"/>
      </a:accent6>
      <a:hlink>
        <a:srgbClr val="0000FF"/>
      </a:hlink>
      <a:folHlink>
        <a:srgbClr val="800080"/>
      </a:folHlink>
    </a:clrScheme>
    <a:fontScheme name="UNCCA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4433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dc:creator>
  <cp:lastModifiedBy>Antoine MATH</cp:lastModifiedBy>
  <cp:revision>2</cp:revision>
  <dcterms:created xsi:type="dcterms:W3CDTF">2019-02-12T10:30:00Z</dcterms:created>
  <dcterms:modified xsi:type="dcterms:W3CDTF">2019-02-12T10:30:00Z</dcterms:modified>
</cp:coreProperties>
</file>