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6929" w14:textId="77777777" w:rsidR="002613CA" w:rsidRDefault="002613CA" w:rsidP="002613CA">
      <w:pPr>
        <w:autoSpaceDE w:val="0"/>
        <w:autoSpaceDN w:val="0"/>
        <w:adjustRightInd w:val="0"/>
        <w:spacing w:after="0" w:line="240" w:lineRule="auto"/>
        <w:rPr>
          <w:rFonts w:ascii="Tms Rmn" w:hAnsi="Tms Rmn"/>
          <w:sz w:val="24"/>
          <w:szCs w:val="24"/>
        </w:rPr>
      </w:pPr>
    </w:p>
    <w:p w14:paraId="25373425" w14:textId="77777777" w:rsidR="002613CA" w:rsidRDefault="002613CA" w:rsidP="002613CA">
      <w:pPr>
        <w:autoSpaceDE w:val="0"/>
        <w:autoSpaceDN w:val="0"/>
        <w:adjustRightInd w:val="0"/>
        <w:spacing w:after="0" w:line="240" w:lineRule="auto"/>
        <w:ind w:left="-360"/>
        <w:rPr>
          <w:rFonts w:ascii="Tms Rmn" w:hAnsi="Tms Rmn"/>
          <w:sz w:val="24"/>
          <w:szCs w:val="24"/>
        </w:rPr>
      </w:pPr>
    </w:p>
    <w:p w14:paraId="51D838CC" w14:textId="6FCDD2FB" w:rsidR="002613CA" w:rsidRDefault="002613CA" w:rsidP="002613CA">
      <w:pPr>
        <w:keepLines/>
        <w:tabs>
          <w:tab w:val="left" w:pos="3060"/>
          <w:tab w:val="left" w:pos="10080"/>
        </w:tabs>
        <w:autoSpaceDE w:val="0"/>
        <w:autoSpaceDN w:val="0"/>
        <w:adjustRightInd w:val="0"/>
        <w:spacing w:after="0" w:line="240" w:lineRule="auto"/>
        <w:ind w:left="-180"/>
        <w:rPr>
          <w:rFonts w:ascii="Comic Sans MS" w:hAnsi="Comic Sans MS" w:cs="Comic Sans MS"/>
          <w:b/>
          <w:bCs/>
          <w:color w:val="000000"/>
          <w:sz w:val="28"/>
          <w:szCs w:val="28"/>
        </w:rPr>
      </w:pPr>
      <w:r>
        <w:rPr>
          <w:rFonts w:ascii="Tms Rmn" w:hAnsi="Tms Rmn"/>
          <w:noProof/>
          <w:sz w:val="24"/>
          <w:szCs w:val="24"/>
        </w:rPr>
        <w:drawing>
          <wp:inline distT="0" distB="0" distL="0" distR="0" wp14:anchorId="35C8A5AB" wp14:editId="6CD2D8A3">
            <wp:extent cx="1479550" cy="5715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9550" cy="571500"/>
                    </a:xfrm>
                    <a:prstGeom prst="rect">
                      <a:avLst/>
                    </a:prstGeom>
                    <a:noFill/>
                    <a:ln>
                      <a:noFill/>
                    </a:ln>
                  </pic:spPr>
                </pic:pic>
              </a:graphicData>
            </a:graphic>
          </wp:inline>
        </w:drawing>
      </w:r>
      <w:r>
        <w:rPr>
          <w:rFonts w:ascii="Tms Rmn" w:hAnsi="Tms Rmn"/>
          <w:sz w:val="24"/>
          <w:szCs w:val="24"/>
        </w:rPr>
        <w:t xml:space="preserve"> </w:t>
      </w:r>
      <w:r>
        <w:rPr>
          <w:rFonts w:ascii="MS Sans Serif" w:hAnsi="MS Sans Serif" w:cs="MS Sans Serif"/>
          <w:color w:val="FF0000"/>
          <w:sz w:val="16"/>
          <w:szCs w:val="16"/>
        </w:rPr>
        <w:t xml:space="preserve">                                    </w:t>
      </w:r>
      <w:r>
        <w:rPr>
          <w:rFonts w:ascii="Comic Sans MS" w:hAnsi="Comic Sans MS" w:cs="Comic Sans MS"/>
          <w:b/>
          <w:bCs/>
          <w:color w:val="000000"/>
          <w:sz w:val="28"/>
          <w:szCs w:val="28"/>
        </w:rPr>
        <w:t>Information technique</w:t>
      </w:r>
    </w:p>
    <w:p w14:paraId="6F07BD47" w14:textId="77777777" w:rsidR="002613CA" w:rsidRDefault="002613CA" w:rsidP="002613CA">
      <w:pPr>
        <w:keepLines/>
        <w:tabs>
          <w:tab w:val="left" w:pos="3060"/>
          <w:tab w:val="left" w:pos="10080"/>
        </w:tabs>
        <w:autoSpaceDE w:val="0"/>
        <w:autoSpaceDN w:val="0"/>
        <w:adjustRightInd w:val="0"/>
        <w:spacing w:after="0" w:line="240" w:lineRule="auto"/>
        <w:ind w:left="-180"/>
        <w:rPr>
          <w:rFonts w:ascii="Comic Sans MS" w:hAnsi="Comic Sans MS" w:cs="Comic Sans MS"/>
          <w:b/>
          <w:bCs/>
          <w:color w:val="000000"/>
          <w:sz w:val="28"/>
          <w:szCs w:val="28"/>
        </w:rPr>
      </w:pPr>
    </w:p>
    <w:tbl>
      <w:tblPr>
        <w:tblW w:w="5000" w:type="pct"/>
        <w:tblLayout w:type="fixed"/>
        <w:tblCellMar>
          <w:left w:w="0" w:type="dxa"/>
          <w:right w:w="0" w:type="dxa"/>
        </w:tblCellMar>
        <w:tblLook w:val="00A0" w:firstRow="1" w:lastRow="0" w:firstColumn="1" w:lastColumn="0" w:noHBand="0" w:noVBand="0"/>
      </w:tblPr>
      <w:tblGrid>
        <w:gridCol w:w="1753"/>
        <w:gridCol w:w="245"/>
        <w:gridCol w:w="2829"/>
        <w:gridCol w:w="4539"/>
      </w:tblGrid>
      <w:tr w:rsidR="002613CA" w14:paraId="6F7E6216" w14:textId="77777777">
        <w:tc>
          <w:tcPr>
            <w:tcW w:w="1067" w:type="pct"/>
            <w:gridSpan w:val="2"/>
            <w:tcBorders>
              <w:top w:val="threeDEmboss" w:sz="4" w:space="0" w:color="auto"/>
              <w:left w:val="threeDEmboss" w:sz="4" w:space="0" w:color="auto"/>
              <w:bottom w:val="threeDEmboss" w:sz="4" w:space="0" w:color="auto"/>
              <w:right w:val="threeDEmboss" w:sz="4" w:space="0" w:color="auto"/>
            </w:tcBorders>
          </w:tcPr>
          <w:p w14:paraId="16F53E76" w14:textId="77777777" w:rsidR="002613CA" w:rsidRDefault="002613CA">
            <w:pPr>
              <w:keepLines/>
              <w:autoSpaceDE w:val="0"/>
              <w:autoSpaceDN w:val="0"/>
              <w:adjustRightInd w:val="0"/>
              <w:spacing w:after="0" w:line="240" w:lineRule="auto"/>
              <w:ind w:left="144" w:right="76"/>
              <w:jc w:val="both"/>
              <w:rPr>
                <w:rFonts w:ascii="MS Sans Serif" w:hAnsi="MS Sans Serif" w:cs="MS Sans Serif"/>
                <w:color w:val="000000"/>
                <w:sz w:val="20"/>
                <w:szCs w:val="20"/>
              </w:rPr>
            </w:pPr>
            <w:r>
              <w:rPr>
                <w:rFonts w:ascii="MS Sans Serif" w:hAnsi="MS Sans Serif" w:cs="MS Sans Serif"/>
                <w:b/>
                <w:bCs/>
                <w:color w:val="000000"/>
                <w:sz w:val="20"/>
                <w:szCs w:val="20"/>
              </w:rPr>
              <w:t xml:space="preserve"> Date : </w:t>
            </w:r>
            <w:r>
              <w:rPr>
                <w:rFonts w:ascii="MS Sans Serif" w:hAnsi="MS Sans Serif" w:cs="MS Sans Serif"/>
                <w:color w:val="000000"/>
                <w:sz w:val="20"/>
                <w:szCs w:val="20"/>
              </w:rPr>
              <w:t>10/08/2021</w:t>
            </w:r>
          </w:p>
        </w:tc>
        <w:tc>
          <w:tcPr>
            <w:tcW w:w="1509" w:type="pct"/>
            <w:tcBorders>
              <w:top w:val="threeDEmboss" w:sz="4" w:space="0" w:color="auto"/>
              <w:left w:val="threeDEmboss" w:sz="4" w:space="0" w:color="auto"/>
              <w:bottom w:val="threeDEmboss" w:sz="4" w:space="0" w:color="auto"/>
              <w:right w:val="threeDEmboss" w:sz="4" w:space="0" w:color="auto"/>
            </w:tcBorders>
          </w:tcPr>
          <w:p w14:paraId="5969FD79" w14:textId="77777777" w:rsidR="002613CA" w:rsidRDefault="002613CA">
            <w:pPr>
              <w:keepNext/>
              <w:keepLines/>
              <w:autoSpaceDE w:val="0"/>
              <w:autoSpaceDN w:val="0"/>
              <w:adjustRightInd w:val="0"/>
              <w:spacing w:after="0" w:line="240" w:lineRule="auto"/>
              <w:ind w:left="137" w:right="107"/>
              <w:rPr>
                <w:rFonts w:ascii="MS Sans Serif" w:hAnsi="MS Sans Serif" w:cs="MS Sans Serif"/>
                <w:color w:val="000000"/>
                <w:sz w:val="20"/>
                <w:szCs w:val="20"/>
              </w:rPr>
            </w:pPr>
            <w:r>
              <w:rPr>
                <w:rFonts w:ascii="MS Sans Serif" w:hAnsi="MS Sans Serif" w:cs="MS Sans Serif"/>
                <w:b/>
                <w:bCs/>
                <w:color w:val="000000"/>
                <w:sz w:val="20"/>
                <w:szCs w:val="20"/>
              </w:rPr>
              <w:t xml:space="preserve"> Nombre de pages : </w:t>
            </w:r>
            <w:r>
              <w:rPr>
                <w:rFonts w:ascii="MS Sans Serif" w:hAnsi="MS Sans Serif" w:cs="MS Sans Serif"/>
                <w:color w:val="000000"/>
                <w:sz w:val="20"/>
                <w:szCs w:val="20"/>
              </w:rPr>
              <w:t>5</w:t>
            </w:r>
          </w:p>
        </w:tc>
        <w:tc>
          <w:tcPr>
            <w:tcW w:w="2422" w:type="pct"/>
            <w:tcBorders>
              <w:top w:val="threeDEmboss" w:sz="4" w:space="0" w:color="auto"/>
              <w:left w:val="threeDEmboss" w:sz="4" w:space="0" w:color="auto"/>
              <w:bottom w:val="threeDEmboss" w:sz="4" w:space="0" w:color="auto"/>
              <w:right w:val="threeDEmboss" w:sz="4" w:space="0" w:color="auto"/>
            </w:tcBorders>
          </w:tcPr>
          <w:p w14:paraId="522DE52B" w14:textId="77777777" w:rsidR="002613CA" w:rsidRDefault="002613CA">
            <w:pPr>
              <w:keepNext/>
              <w:keepLines/>
              <w:autoSpaceDE w:val="0"/>
              <w:autoSpaceDN w:val="0"/>
              <w:adjustRightInd w:val="0"/>
              <w:spacing w:after="0" w:line="240" w:lineRule="auto"/>
              <w:ind w:left="116" w:right="86"/>
              <w:rPr>
                <w:rFonts w:ascii="MS Sans Serif" w:hAnsi="MS Sans Serif" w:cs="MS Sans Serif"/>
                <w:b/>
                <w:bCs/>
                <w:color w:val="000000"/>
                <w:sz w:val="20"/>
                <w:szCs w:val="20"/>
              </w:rPr>
            </w:pPr>
            <w:r>
              <w:rPr>
                <w:rFonts w:ascii="MS Sans Serif" w:hAnsi="MS Sans Serif" w:cs="MS Sans Serif"/>
                <w:b/>
                <w:bCs/>
                <w:color w:val="000000"/>
                <w:sz w:val="20"/>
                <w:szCs w:val="20"/>
              </w:rPr>
              <w:t xml:space="preserve">Emetteur(s) : </w:t>
            </w:r>
          </w:p>
          <w:p w14:paraId="45BD9722" w14:textId="77777777" w:rsidR="002613CA" w:rsidRDefault="002613CA">
            <w:pPr>
              <w:keepNext/>
              <w:keepLines/>
              <w:autoSpaceDE w:val="0"/>
              <w:autoSpaceDN w:val="0"/>
              <w:adjustRightInd w:val="0"/>
              <w:spacing w:after="0" w:line="240" w:lineRule="auto"/>
              <w:ind w:left="116" w:right="86"/>
              <w:rPr>
                <w:rFonts w:ascii="MS Sans Serif" w:hAnsi="MS Sans Serif" w:cs="MS Sans Serif"/>
                <w:color w:val="000000"/>
                <w:sz w:val="20"/>
                <w:szCs w:val="20"/>
              </w:rPr>
            </w:pPr>
            <w:r>
              <w:rPr>
                <w:rFonts w:ascii="MS Sans Serif" w:hAnsi="MS Sans Serif" w:cs="MS Sans Serif"/>
                <w:color w:val="000000"/>
                <w:sz w:val="20"/>
                <w:szCs w:val="20"/>
              </w:rPr>
              <w:t>Direction des politiques familiales et sociales</w:t>
            </w:r>
            <w:r>
              <w:rPr>
                <w:rFonts w:ascii="MS Sans Serif" w:hAnsi="MS Sans Serif" w:cs="MS Sans Serif"/>
                <w:color w:val="000000"/>
                <w:sz w:val="20"/>
                <w:szCs w:val="20"/>
              </w:rPr>
              <w:br/>
            </w:r>
            <w:proofErr w:type="spellStart"/>
            <w:r>
              <w:rPr>
                <w:rFonts w:ascii="MS Sans Serif" w:hAnsi="MS Sans Serif" w:cs="MS Sans Serif"/>
                <w:color w:val="000000"/>
                <w:sz w:val="20"/>
                <w:szCs w:val="20"/>
              </w:rPr>
              <w:t>Dic</w:t>
            </w:r>
            <w:proofErr w:type="spellEnd"/>
            <w:r>
              <w:rPr>
                <w:rFonts w:ascii="MS Sans Serif" w:hAnsi="MS Sans Serif" w:cs="MS Sans Serif"/>
                <w:color w:val="000000"/>
                <w:sz w:val="20"/>
                <w:szCs w:val="20"/>
              </w:rPr>
              <w:t>/Pôle logement et vie sociale</w:t>
            </w:r>
            <w:r>
              <w:rPr>
                <w:rFonts w:ascii="MS Sans Serif" w:hAnsi="MS Sans Serif" w:cs="MS Sans Serif"/>
                <w:color w:val="000000"/>
                <w:sz w:val="20"/>
                <w:szCs w:val="20"/>
              </w:rPr>
              <w:br/>
              <w:t>Jean-Pascal MICHAUD Tél. : 01 45 65 52 23</w:t>
            </w:r>
          </w:p>
          <w:p w14:paraId="155BDE80" w14:textId="77777777" w:rsidR="002613CA" w:rsidRDefault="002613CA">
            <w:pPr>
              <w:keepLines/>
              <w:autoSpaceDE w:val="0"/>
              <w:autoSpaceDN w:val="0"/>
              <w:adjustRightInd w:val="0"/>
              <w:spacing w:after="0" w:line="240" w:lineRule="auto"/>
              <w:ind w:left="116" w:right="86"/>
              <w:rPr>
                <w:rFonts w:ascii="MS Sans Serif" w:hAnsi="MS Sans Serif" w:cs="MS Sans Serif"/>
                <w:color w:val="000000"/>
                <w:sz w:val="20"/>
                <w:szCs w:val="20"/>
              </w:rPr>
            </w:pPr>
          </w:p>
          <w:p w14:paraId="0073A49A" w14:textId="77777777" w:rsidR="002613CA" w:rsidRDefault="002613CA">
            <w:pPr>
              <w:keepNext/>
              <w:keepLines/>
              <w:autoSpaceDE w:val="0"/>
              <w:autoSpaceDN w:val="0"/>
              <w:adjustRightInd w:val="0"/>
              <w:spacing w:after="0" w:line="240" w:lineRule="auto"/>
              <w:ind w:left="116" w:right="86"/>
              <w:rPr>
                <w:rFonts w:ascii="MS Sans Serif" w:hAnsi="MS Sans Serif" w:cs="MS Sans Serif"/>
                <w:color w:val="000000"/>
                <w:sz w:val="20"/>
                <w:szCs w:val="20"/>
              </w:rPr>
            </w:pPr>
          </w:p>
        </w:tc>
      </w:tr>
      <w:tr w:rsidR="002613CA" w14:paraId="4C5AD2B6" w14:textId="77777777">
        <w:tc>
          <w:tcPr>
            <w:tcW w:w="1067" w:type="pct"/>
            <w:gridSpan w:val="2"/>
            <w:tcBorders>
              <w:top w:val="threeDEmboss" w:sz="4" w:space="0" w:color="auto"/>
              <w:left w:val="threeDEmboss" w:sz="4" w:space="0" w:color="auto"/>
              <w:bottom w:val="threeDEmboss" w:sz="4" w:space="0" w:color="auto"/>
              <w:right w:val="threeDEmboss" w:sz="4" w:space="0" w:color="auto"/>
            </w:tcBorders>
          </w:tcPr>
          <w:p w14:paraId="5E85E465" w14:textId="77777777" w:rsidR="002613CA" w:rsidRDefault="002613CA">
            <w:pPr>
              <w:keepNext/>
              <w:keepLines/>
              <w:autoSpaceDE w:val="0"/>
              <w:autoSpaceDN w:val="0"/>
              <w:adjustRightInd w:val="0"/>
              <w:spacing w:after="0" w:line="240" w:lineRule="auto"/>
              <w:ind w:left="144" w:right="76"/>
              <w:rPr>
                <w:rFonts w:ascii="MS Sans Serif" w:hAnsi="MS Sans Serif" w:cs="MS Sans Serif"/>
                <w:color w:val="000000"/>
                <w:sz w:val="20"/>
                <w:szCs w:val="20"/>
              </w:rPr>
            </w:pPr>
            <w:r>
              <w:rPr>
                <w:rFonts w:ascii="MS Sans Serif" w:hAnsi="MS Sans Serif" w:cs="MS Sans Serif"/>
                <w:b/>
                <w:bCs/>
                <w:color w:val="000000"/>
                <w:sz w:val="20"/>
                <w:szCs w:val="20"/>
              </w:rPr>
              <w:t xml:space="preserve"> Information technique N° : </w:t>
            </w:r>
            <w:r>
              <w:rPr>
                <w:rFonts w:ascii="MS Sans Serif" w:hAnsi="MS Sans Serif" w:cs="MS Sans Serif"/>
                <w:color w:val="000000"/>
                <w:sz w:val="20"/>
                <w:szCs w:val="20"/>
              </w:rPr>
              <w:t>109</w:t>
            </w:r>
          </w:p>
        </w:tc>
        <w:tc>
          <w:tcPr>
            <w:tcW w:w="3931" w:type="pct"/>
            <w:gridSpan w:val="2"/>
            <w:tcBorders>
              <w:top w:val="threeDEmboss" w:sz="4" w:space="0" w:color="auto"/>
              <w:left w:val="threeDEmboss" w:sz="4" w:space="0" w:color="auto"/>
              <w:bottom w:val="threeDEmboss" w:sz="4" w:space="0" w:color="auto"/>
              <w:right w:val="threeDEmboss" w:sz="4" w:space="0" w:color="auto"/>
            </w:tcBorders>
          </w:tcPr>
          <w:p w14:paraId="5197EC8E" w14:textId="77777777" w:rsidR="002613CA" w:rsidRDefault="002613CA">
            <w:pPr>
              <w:keepNext/>
              <w:keepLines/>
              <w:autoSpaceDE w:val="0"/>
              <w:autoSpaceDN w:val="0"/>
              <w:adjustRightInd w:val="0"/>
              <w:spacing w:after="0" w:line="240" w:lineRule="auto"/>
              <w:ind w:left="170" w:right="140"/>
              <w:rPr>
                <w:rFonts w:ascii="MS Sans Serif" w:hAnsi="MS Sans Serif" w:cs="MS Sans Serif"/>
                <w:color w:val="000000"/>
                <w:sz w:val="20"/>
                <w:szCs w:val="20"/>
              </w:rPr>
            </w:pPr>
            <w:r>
              <w:rPr>
                <w:rFonts w:ascii="MS Sans Serif" w:hAnsi="MS Sans Serif" w:cs="MS Sans Serif"/>
                <w:b/>
                <w:bCs/>
                <w:color w:val="000000"/>
                <w:sz w:val="20"/>
                <w:szCs w:val="20"/>
              </w:rPr>
              <w:t xml:space="preserve"> Nature : </w:t>
            </w:r>
            <w:r>
              <w:rPr>
                <w:rFonts w:ascii="MS Sans Serif" w:hAnsi="MS Sans Serif" w:cs="MS Sans Serif"/>
                <w:color w:val="000000"/>
                <w:sz w:val="20"/>
                <w:szCs w:val="20"/>
              </w:rPr>
              <w:t>Information</w:t>
            </w:r>
          </w:p>
        </w:tc>
      </w:tr>
      <w:tr w:rsidR="002613CA" w14:paraId="1626E9BC" w14:textId="77777777">
        <w:tc>
          <w:tcPr>
            <w:tcW w:w="936" w:type="pct"/>
            <w:tcBorders>
              <w:top w:val="threeDEmboss" w:sz="4" w:space="0" w:color="auto"/>
              <w:left w:val="threeDEmboss" w:sz="4" w:space="0" w:color="auto"/>
              <w:bottom w:val="threeDEmboss" w:sz="4" w:space="0" w:color="auto"/>
            </w:tcBorders>
          </w:tcPr>
          <w:p w14:paraId="535262C3" w14:textId="77777777" w:rsidR="002613CA" w:rsidRDefault="002613CA">
            <w:pPr>
              <w:keepNext/>
              <w:keepLines/>
              <w:autoSpaceDE w:val="0"/>
              <w:autoSpaceDN w:val="0"/>
              <w:adjustRightInd w:val="0"/>
              <w:spacing w:after="0" w:line="240" w:lineRule="auto"/>
              <w:ind w:left="130" w:right="66"/>
              <w:rPr>
                <w:rFonts w:ascii="MS Sans Serif" w:hAnsi="MS Sans Serif" w:cs="MS Sans Serif"/>
                <w:b/>
                <w:bCs/>
                <w:color w:val="000000"/>
                <w:sz w:val="20"/>
                <w:szCs w:val="20"/>
              </w:rPr>
            </w:pPr>
            <w:r>
              <w:rPr>
                <w:rFonts w:ascii="MS Sans Serif" w:hAnsi="MS Sans Serif" w:cs="MS Sans Serif"/>
                <w:b/>
                <w:bCs/>
                <w:color w:val="000000"/>
                <w:sz w:val="20"/>
                <w:szCs w:val="20"/>
              </w:rPr>
              <w:t xml:space="preserve"> Destinataire :</w:t>
            </w:r>
          </w:p>
        </w:tc>
        <w:tc>
          <w:tcPr>
            <w:tcW w:w="4062" w:type="pct"/>
            <w:gridSpan w:val="3"/>
            <w:tcBorders>
              <w:top w:val="threeDEmboss" w:sz="4" w:space="0" w:color="auto"/>
              <w:bottom w:val="threeDEmboss" w:sz="4" w:space="0" w:color="auto"/>
              <w:right w:val="threeDEmboss" w:sz="4" w:space="0" w:color="auto"/>
            </w:tcBorders>
          </w:tcPr>
          <w:p w14:paraId="1AA3BA18" w14:textId="77777777" w:rsidR="002613CA" w:rsidRDefault="002613CA">
            <w:pPr>
              <w:keepNext/>
              <w:keepLines/>
              <w:autoSpaceDE w:val="0"/>
              <w:autoSpaceDN w:val="0"/>
              <w:adjustRightInd w:val="0"/>
              <w:spacing w:after="0" w:line="240" w:lineRule="auto"/>
              <w:ind w:left="145" w:right="145"/>
              <w:rPr>
                <w:rFonts w:ascii="MS Sans Serif" w:hAnsi="MS Sans Serif" w:cs="MS Sans Serif"/>
                <w:color w:val="000000"/>
                <w:sz w:val="20"/>
                <w:szCs w:val="20"/>
              </w:rPr>
            </w:pPr>
            <w:r>
              <w:rPr>
                <w:rFonts w:ascii="MS Sans Serif" w:hAnsi="MS Sans Serif" w:cs="MS Sans Serif"/>
                <w:color w:val="000000"/>
                <w:sz w:val="20"/>
                <w:szCs w:val="20"/>
              </w:rPr>
              <w:t xml:space="preserve">Mesdames </w:t>
            </w:r>
            <w:proofErr w:type="gramStart"/>
            <w:r>
              <w:rPr>
                <w:rFonts w:ascii="MS Sans Serif" w:hAnsi="MS Sans Serif" w:cs="MS Sans Serif"/>
                <w:color w:val="000000"/>
                <w:sz w:val="20"/>
                <w:szCs w:val="20"/>
              </w:rPr>
              <w:t>et  Messieurs</w:t>
            </w:r>
            <w:proofErr w:type="gramEnd"/>
            <w:r>
              <w:rPr>
                <w:rFonts w:ascii="MS Sans Serif" w:hAnsi="MS Sans Serif" w:cs="MS Sans Serif"/>
                <w:color w:val="000000"/>
                <w:sz w:val="20"/>
                <w:szCs w:val="20"/>
              </w:rPr>
              <w:t xml:space="preserve"> les Directeurs et Directeurs comptables et financiers des CAF</w:t>
            </w:r>
          </w:p>
        </w:tc>
      </w:tr>
      <w:tr w:rsidR="002613CA" w14:paraId="19A4E1E1" w14:textId="77777777">
        <w:tc>
          <w:tcPr>
            <w:tcW w:w="936" w:type="pct"/>
            <w:tcBorders>
              <w:top w:val="threeDEmboss" w:sz="4" w:space="0" w:color="auto"/>
              <w:left w:val="threeDEmboss" w:sz="4" w:space="0" w:color="auto"/>
              <w:bottom w:val="threeDEmboss" w:sz="4" w:space="0" w:color="auto"/>
            </w:tcBorders>
          </w:tcPr>
          <w:p w14:paraId="6DE1A1EB" w14:textId="77777777" w:rsidR="002613CA" w:rsidRDefault="002613CA">
            <w:pPr>
              <w:keepNext/>
              <w:keepLines/>
              <w:autoSpaceDE w:val="0"/>
              <w:autoSpaceDN w:val="0"/>
              <w:adjustRightInd w:val="0"/>
              <w:spacing w:after="0" w:line="240" w:lineRule="auto"/>
              <w:ind w:left="130" w:right="66"/>
              <w:rPr>
                <w:rFonts w:ascii="MS Sans Serif" w:hAnsi="MS Sans Serif" w:cs="MS Sans Serif"/>
                <w:b/>
                <w:bCs/>
                <w:color w:val="000000"/>
                <w:sz w:val="20"/>
                <w:szCs w:val="20"/>
              </w:rPr>
            </w:pPr>
            <w:r>
              <w:rPr>
                <w:rFonts w:ascii="MS Sans Serif" w:hAnsi="MS Sans Serif" w:cs="MS Sans Serif"/>
                <w:b/>
                <w:bCs/>
                <w:color w:val="000000"/>
                <w:sz w:val="20"/>
                <w:szCs w:val="20"/>
              </w:rPr>
              <w:t xml:space="preserve"> A l'attention de :</w:t>
            </w:r>
          </w:p>
        </w:tc>
        <w:tc>
          <w:tcPr>
            <w:tcW w:w="4062" w:type="pct"/>
            <w:gridSpan w:val="3"/>
            <w:tcBorders>
              <w:top w:val="threeDEmboss" w:sz="4" w:space="0" w:color="auto"/>
              <w:bottom w:val="threeDEmboss" w:sz="4" w:space="0" w:color="auto"/>
              <w:right w:val="threeDEmboss" w:sz="4" w:space="0" w:color="auto"/>
            </w:tcBorders>
          </w:tcPr>
          <w:p w14:paraId="040D9F4C" w14:textId="77777777" w:rsidR="002613CA" w:rsidRDefault="002613CA">
            <w:pPr>
              <w:keepNext/>
              <w:keepLines/>
              <w:autoSpaceDE w:val="0"/>
              <w:autoSpaceDN w:val="0"/>
              <w:adjustRightInd w:val="0"/>
              <w:spacing w:after="0" w:line="240" w:lineRule="auto"/>
              <w:ind w:left="145" w:right="145"/>
              <w:rPr>
                <w:rFonts w:ascii="MS Sans Serif" w:hAnsi="MS Sans Serif" w:cs="MS Sans Serif"/>
                <w:b/>
                <w:bCs/>
                <w:color w:val="000000"/>
                <w:sz w:val="20"/>
                <w:szCs w:val="20"/>
              </w:rPr>
            </w:pPr>
          </w:p>
        </w:tc>
      </w:tr>
      <w:tr w:rsidR="002613CA" w14:paraId="65A131A4" w14:textId="77777777">
        <w:tc>
          <w:tcPr>
            <w:tcW w:w="936" w:type="pct"/>
            <w:tcBorders>
              <w:top w:val="threeDEmboss" w:sz="4" w:space="0" w:color="auto"/>
              <w:left w:val="threeDEmboss" w:sz="4" w:space="0" w:color="auto"/>
              <w:bottom w:val="threeDEmboss" w:sz="4" w:space="0" w:color="auto"/>
            </w:tcBorders>
          </w:tcPr>
          <w:p w14:paraId="657A4236" w14:textId="77777777" w:rsidR="002613CA" w:rsidRDefault="002613CA">
            <w:pPr>
              <w:keepNext/>
              <w:keepLines/>
              <w:autoSpaceDE w:val="0"/>
              <w:autoSpaceDN w:val="0"/>
              <w:adjustRightInd w:val="0"/>
              <w:spacing w:after="0" w:line="240" w:lineRule="auto"/>
              <w:ind w:left="130" w:right="66"/>
              <w:rPr>
                <w:rFonts w:ascii="MS Sans Serif" w:hAnsi="MS Sans Serif" w:cs="MS Sans Serif"/>
                <w:b/>
                <w:bCs/>
                <w:color w:val="000000"/>
                <w:sz w:val="20"/>
                <w:szCs w:val="20"/>
              </w:rPr>
            </w:pPr>
            <w:r>
              <w:rPr>
                <w:rFonts w:ascii="MS Sans Serif" w:hAnsi="MS Sans Serif" w:cs="MS Sans Serif"/>
                <w:b/>
                <w:bCs/>
                <w:color w:val="000000"/>
                <w:sz w:val="20"/>
                <w:szCs w:val="20"/>
              </w:rPr>
              <w:t xml:space="preserve"> Domaine : </w:t>
            </w:r>
          </w:p>
        </w:tc>
        <w:tc>
          <w:tcPr>
            <w:tcW w:w="1640" w:type="pct"/>
            <w:gridSpan w:val="2"/>
            <w:tcBorders>
              <w:top w:val="threeDEmboss" w:sz="4" w:space="0" w:color="auto"/>
              <w:bottom w:val="threeDEmboss" w:sz="4" w:space="0" w:color="auto"/>
              <w:right w:val="threeDEmboss" w:sz="4" w:space="0" w:color="auto"/>
            </w:tcBorders>
          </w:tcPr>
          <w:p w14:paraId="1E4B0AC7" w14:textId="77777777" w:rsidR="002613CA" w:rsidRDefault="002613CA">
            <w:pPr>
              <w:keepNext/>
              <w:keepLines/>
              <w:autoSpaceDE w:val="0"/>
              <w:autoSpaceDN w:val="0"/>
              <w:adjustRightInd w:val="0"/>
              <w:spacing w:after="0" w:line="240" w:lineRule="auto"/>
              <w:ind w:left="59" w:right="59"/>
              <w:rPr>
                <w:rFonts w:ascii="MS Sans Serif" w:hAnsi="MS Sans Serif" w:cs="MS Sans Serif"/>
                <w:color w:val="000000"/>
                <w:sz w:val="20"/>
                <w:szCs w:val="20"/>
              </w:rPr>
            </w:pPr>
            <w:r>
              <w:rPr>
                <w:rFonts w:ascii="MS Sans Serif" w:hAnsi="MS Sans Serif" w:cs="MS Sans Serif"/>
                <w:color w:val="000000"/>
                <w:sz w:val="20"/>
                <w:szCs w:val="20"/>
              </w:rPr>
              <w:t>PRESTATIONS LEGALES</w:t>
            </w:r>
          </w:p>
        </w:tc>
        <w:tc>
          <w:tcPr>
            <w:tcW w:w="2422" w:type="pct"/>
            <w:tcBorders>
              <w:top w:val="threeDEmboss" w:sz="4" w:space="0" w:color="auto"/>
              <w:left w:val="threeDEmboss" w:sz="4" w:space="0" w:color="auto"/>
              <w:bottom w:val="threeDEmboss" w:sz="4" w:space="0" w:color="auto"/>
              <w:right w:val="threeDEmboss" w:sz="4" w:space="0" w:color="auto"/>
            </w:tcBorders>
          </w:tcPr>
          <w:p w14:paraId="3FE9431E" w14:textId="77777777" w:rsidR="002613CA" w:rsidRDefault="002613CA">
            <w:pPr>
              <w:keepLines/>
              <w:autoSpaceDE w:val="0"/>
              <w:autoSpaceDN w:val="0"/>
              <w:adjustRightInd w:val="0"/>
              <w:spacing w:after="0" w:line="240" w:lineRule="auto"/>
              <w:ind w:left="116" w:right="86"/>
              <w:rPr>
                <w:rFonts w:ascii="MS Sans Serif" w:hAnsi="MS Sans Serif" w:cs="MS Sans Serif"/>
                <w:b/>
                <w:bCs/>
                <w:color w:val="000000"/>
                <w:sz w:val="20"/>
                <w:szCs w:val="20"/>
              </w:rPr>
            </w:pPr>
            <w:r>
              <w:rPr>
                <w:rFonts w:ascii="MS Sans Serif" w:hAnsi="MS Sans Serif" w:cs="MS Sans Serif"/>
                <w:b/>
                <w:bCs/>
                <w:color w:val="000000"/>
                <w:sz w:val="20"/>
                <w:szCs w:val="20"/>
              </w:rPr>
              <w:t xml:space="preserve"> Date d'application : </w:t>
            </w:r>
          </w:p>
          <w:p w14:paraId="72C0B308" w14:textId="77777777" w:rsidR="002613CA" w:rsidRDefault="002613CA">
            <w:pPr>
              <w:keepLines/>
              <w:autoSpaceDE w:val="0"/>
              <w:autoSpaceDN w:val="0"/>
              <w:adjustRightInd w:val="0"/>
              <w:spacing w:after="0" w:line="240" w:lineRule="auto"/>
              <w:ind w:left="116" w:right="86"/>
              <w:rPr>
                <w:rFonts w:ascii="MS Sans Serif" w:hAnsi="MS Sans Serif" w:cs="MS Sans Serif"/>
                <w:color w:val="000000"/>
                <w:sz w:val="20"/>
                <w:szCs w:val="20"/>
              </w:rPr>
            </w:pPr>
            <w:r>
              <w:rPr>
                <w:rFonts w:ascii="MS Sans Serif" w:hAnsi="MS Sans Serif" w:cs="MS Sans Serif"/>
                <w:b/>
                <w:bCs/>
                <w:color w:val="000000"/>
                <w:sz w:val="20"/>
                <w:szCs w:val="20"/>
              </w:rPr>
              <w:t xml:space="preserve"> Champ d'application : </w:t>
            </w:r>
            <w:r>
              <w:rPr>
                <w:rFonts w:ascii="MS Sans Serif" w:hAnsi="MS Sans Serif" w:cs="MS Sans Serif"/>
                <w:color w:val="000000"/>
                <w:sz w:val="20"/>
                <w:szCs w:val="20"/>
              </w:rPr>
              <w:t>Métropole et DOM</w:t>
            </w:r>
          </w:p>
        </w:tc>
      </w:tr>
      <w:tr w:rsidR="002613CA" w14:paraId="64AAAB2A" w14:textId="77777777">
        <w:tc>
          <w:tcPr>
            <w:tcW w:w="936" w:type="pct"/>
            <w:tcBorders>
              <w:top w:val="threeDEmboss" w:sz="4" w:space="0" w:color="auto"/>
              <w:left w:val="threeDEmboss" w:sz="4" w:space="0" w:color="auto"/>
              <w:bottom w:val="threeDEmboss" w:sz="4" w:space="0" w:color="auto"/>
            </w:tcBorders>
          </w:tcPr>
          <w:p w14:paraId="73FA449B" w14:textId="77777777" w:rsidR="002613CA" w:rsidRDefault="002613CA">
            <w:pPr>
              <w:keepNext/>
              <w:keepLines/>
              <w:autoSpaceDE w:val="0"/>
              <w:autoSpaceDN w:val="0"/>
              <w:adjustRightInd w:val="0"/>
              <w:spacing w:after="0" w:line="240" w:lineRule="auto"/>
              <w:ind w:left="130" w:right="66"/>
              <w:rPr>
                <w:rFonts w:ascii="MS Sans Serif" w:hAnsi="MS Sans Serif" w:cs="MS Sans Serif"/>
                <w:b/>
                <w:bCs/>
                <w:color w:val="000000"/>
                <w:sz w:val="20"/>
                <w:szCs w:val="20"/>
              </w:rPr>
            </w:pPr>
            <w:r>
              <w:rPr>
                <w:rFonts w:ascii="MS Sans Serif" w:hAnsi="MS Sans Serif" w:cs="MS Sans Serif"/>
                <w:b/>
                <w:bCs/>
                <w:color w:val="000000"/>
                <w:sz w:val="20"/>
                <w:szCs w:val="20"/>
              </w:rPr>
              <w:t xml:space="preserve"> Mots-clés :</w:t>
            </w:r>
          </w:p>
        </w:tc>
        <w:tc>
          <w:tcPr>
            <w:tcW w:w="4062" w:type="pct"/>
            <w:gridSpan w:val="3"/>
            <w:tcBorders>
              <w:top w:val="threeDEmboss" w:sz="4" w:space="0" w:color="auto"/>
              <w:bottom w:val="threeDEmboss" w:sz="4" w:space="0" w:color="auto"/>
              <w:right w:val="threeDEmboss" w:sz="4" w:space="0" w:color="auto"/>
            </w:tcBorders>
          </w:tcPr>
          <w:p w14:paraId="6326DAF4" w14:textId="77777777" w:rsidR="002613CA" w:rsidRDefault="002613CA">
            <w:pPr>
              <w:keepNext/>
              <w:keepLines/>
              <w:autoSpaceDE w:val="0"/>
              <w:autoSpaceDN w:val="0"/>
              <w:adjustRightInd w:val="0"/>
              <w:spacing w:after="0" w:line="240" w:lineRule="auto"/>
              <w:ind w:left="145" w:right="145"/>
              <w:rPr>
                <w:rFonts w:ascii="MS Sans Serif" w:hAnsi="MS Sans Serif" w:cs="MS Sans Serif"/>
                <w:color w:val="000000"/>
                <w:sz w:val="20"/>
                <w:szCs w:val="20"/>
              </w:rPr>
            </w:pPr>
            <w:r>
              <w:rPr>
                <w:rFonts w:ascii="MS Sans Serif" w:hAnsi="MS Sans Serif" w:cs="MS Sans Serif"/>
                <w:color w:val="000000"/>
                <w:sz w:val="20"/>
                <w:szCs w:val="20"/>
              </w:rPr>
              <w:t>PREVENTION, IMPAYE DE LOYER, NUMEROTATION TELEPHONIQUE, APL</w:t>
            </w:r>
          </w:p>
        </w:tc>
      </w:tr>
      <w:tr w:rsidR="002613CA" w14:paraId="5B90C9BF" w14:textId="77777777">
        <w:tc>
          <w:tcPr>
            <w:tcW w:w="936" w:type="pct"/>
            <w:tcBorders>
              <w:top w:val="threeDEmboss" w:sz="4" w:space="0" w:color="auto"/>
              <w:left w:val="threeDEmboss" w:sz="4" w:space="0" w:color="auto"/>
              <w:bottom w:val="threeDEmboss" w:sz="4" w:space="0" w:color="auto"/>
            </w:tcBorders>
          </w:tcPr>
          <w:p w14:paraId="02755303" w14:textId="77777777" w:rsidR="002613CA" w:rsidRDefault="002613CA">
            <w:pPr>
              <w:keepNext/>
              <w:keepLines/>
              <w:autoSpaceDE w:val="0"/>
              <w:autoSpaceDN w:val="0"/>
              <w:adjustRightInd w:val="0"/>
              <w:spacing w:after="0" w:line="240" w:lineRule="auto"/>
              <w:ind w:left="130" w:right="66"/>
              <w:rPr>
                <w:rFonts w:ascii="MS Sans Serif" w:hAnsi="MS Sans Serif" w:cs="MS Sans Serif"/>
                <w:b/>
                <w:bCs/>
                <w:color w:val="000000"/>
                <w:sz w:val="20"/>
                <w:szCs w:val="20"/>
              </w:rPr>
            </w:pPr>
            <w:r>
              <w:rPr>
                <w:rFonts w:ascii="MS Sans Serif" w:hAnsi="MS Sans Serif" w:cs="MS Sans Serif"/>
                <w:b/>
                <w:bCs/>
                <w:color w:val="000000"/>
                <w:sz w:val="20"/>
                <w:szCs w:val="20"/>
              </w:rPr>
              <w:t xml:space="preserve"> Objet :</w:t>
            </w:r>
          </w:p>
        </w:tc>
        <w:tc>
          <w:tcPr>
            <w:tcW w:w="4062" w:type="pct"/>
            <w:gridSpan w:val="3"/>
            <w:tcBorders>
              <w:top w:val="threeDEmboss" w:sz="4" w:space="0" w:color="auto"/>
              <w:bottom w:val="threeDEmboss" w:sz="4" w:space="0" w:color="auto"/>
              <w:right w:val="threeDEmboss" w:sz="4" w:space="0" w:color="auto"/>
            </w:tcBorders>
          </w:tcPr>
          <w:p w14:paraId="69FE4B04" w14:textId="77777777" w:rsidR="002613CA" w:rsidRDefault="002613CA">
            <w:pPr>
              <w:keepNext/>
              <w:keepLines/>
              <w:autoSpaceDE w:val="0"/>
              <w:autoSpaceDN w:val="0"/>
              <w:adjustRightInd w:val="0"/>
              <w:spacing w:after="0" w:line="240" w:lineRule="auto"/>
              <w:ind w:left="145" w:right="145"/>
              <w:rPr>
                <w:rFonts w:ascii="MS Sans Serif" w:hAnsi="MS Sans Serif" w:cs="MS Sans Serif"/>
                <w:color w:val="000000"/>
                <w:sz w:val="20"/>
                <w:szCs w:val="20"/>
              </w:rPr>
            </w:pPr>
            <w:r>
              <w:rPr>
                <w:rFonts w:ascii="MS Sans Serif" w:hAnsi="MS Sans Serif" w:cs="MS Sans Serif"/>
                <w:color w:val="000000"/>
                <w:sz w:val="20"/>
                <w:szCs w:val="20"/>
              </w:rPr>
              <w:t>Prévention des impayés locatifs et des expulsions : guide « les aides en cas d’impayés locatifs » ; numéro vert en faveur des ménages ; principe du maintien des aides personnelles au logement dans le cadre du traitement administratif des impayés.</w:t>
            </w:r>
          </w:p>
        </w:tc>
      </w:tr>
      <w:tr w:rsidR="002613CA" w14:paraId="69DB5AF6" w14:textId="77777777">
        <w:tc>
          <w:tcPr>
            <w:tcW w:w="936" w:type="pct"/>
            <w:tcBorders>
              <w:top w:val="threeDEmboss" w:sz="4" w:space="0" w:color="auto"/>
              <w:left w:val="threeDEmboss" w:sz="4" w:space="0" w:color="auto"/>
              <w:bottom w:val="threeDEmboss" w:sz="4" w:space="0" w:color="auto"/>
            </w:tcBorders>
          </w:tcPr>
          <w:p w14:paraId="5C988771" w14:textId="77777777" w:rsidR="002613CA" w:rsidRDefault="002613CA">
            <w:pPr>
              <w:keepNext/>
              <w:keepLines/>
              <w:autoSpaceDE w:val="0"/>
              <w:autoSpaceDN w:val="0"/>
              <w:adjustRightInd w:val="0"/>
              <w:spacing w:after="0" w:line="240" w:lineRule="auto"/>
              <w:ind w:left="130" w:right="66"/>
              <w:rPr>
                <w:rFonts w:ascii="MS Sans Serif" w:hAnsi="MS Sans Serif" w:cs="MS Sans Serif"/>
                <w:b/>
                <w:bCs/>
                <w:color w:val="000000"/>
                <w:sz w:val="20"/>
                <w:szCs w:val="20"/>
              </w:rPr>
            </w:pPr>
            <w:r>
              <w:rPr>
                <w:rFonts w:ascii="MS Sans Serif" w:hAnsi="MS Sans Serif" w:cs="MS Sans Serif"/>
                <w:b/>
                <w:bCs/>
                <w:color w:val="000000"/>
                <w:sz w:val="20"/>
                <w:szCs w:val="20"/>
              </w:rPr>
              <w:t xml:space="preserve"> Pièces jointes : </w:t>
            </w:r>
          </w:p>
        </w:tc>
        <w:tc>
          <w:tcPr>
            <w:tcW w:w="4062" w:type="pct"/>
            <w:gridSpan w:val="3"/>
            <w:tcBorders>
              <w:top w:val="threeDEmboss" w:sz="4" w:space="0" w:color="auto"/>
              <w:bottom w:val="threeDEmboss" w:sz="4" w:space="0" w:color="auto"/>
              <w:right w:val="threeDEmboss" w:sz="4" w:space="0" w:color="auto"/>
            </w:tcBorders>
          </w:tcPr>
          <w:p w14:paraId="6290D8D5" w14:textId="77777777" w:rsidR="002613CA" w:rsidRDefault="002613CA">
            <w:pPr>
              <w:keepNext/>
              <w:keepLines/>
              <w:autoSpaceDE w:val="0"/>
              <w:autoSpaceDN w:val="0"/>
              <w:adjustRightInd w:val="0"/>
              <w:spacing w:after="0" w:line="240" w:lineRule="auto"/>
              <w:ind w:left="145" w:right="145"/>
              <w:rPr>
                <w:rFonts w:ascii="MS Sans Serif" w:hAnsi="MS Sans Serif" w:cs="MS Sans Serif"/>
                <w:b/>
                <w:bCs/>
                <w:color w:val="000000"/>
                <w:sz w:val="20"/>
                <w:szCs w:val="20"/>
              </w:rPr>
            </w:pPr>
          </w:p>
        </w:tc>
      </w:tr>
    </w:tbl>
    <w:p w14:paraId="1F3D8BAD" w14:textId="77777777" w:rsidR="002613CA" w:rsidRPr="002613CA" w:rsidRDefault="002613CA" w:rsidP="002613CA">
      <w:pPr>
        <w:autoSpaceDE w:val="0"/>
        <w:autoSpaceDN w:val="0"/>
        <w:adjustRightInd w:val="0"/>
        <w:spacing w:after="0" w:line="240" w:lineRule="auto"/>
        <w:jc w:val="center"/>
        <w:rPr>
          <w:rFonts w:ascii="MS Sans Serif" w:hAnsi="MS Sans Serif" w:cs="MS Sans Serif"/>
          <w:b/>
          <w:bCs/>
          <w:color w:val="000000"/>
          <w:sz w:val="24"/>
          <w:szCs w:val="24"/>
          <w14:shadow w14:blurRad="50800" w14:dist="38100" w14:dir="2700000" w14:sx="100000" w14:sy="100000" w14:kx="0" w14:ky="0" w14:algn="tl">
            <w14:srgbClr w14:val="000000">
              <w14:alpha w14:val="60000"/>
            </w14:srgbClr>
          </w14:shadow>
        </w:rPr>
      </w:pPr>
      <w:r w:rsidRPr="002613CA">
        <w:rPr>
          <w:rFonts w:ascii="MS Sans Serif" w:hAnsi="MS Sans Serif" w:cs="MS Sans Serif"/>
          <w:b/>
          <w:bCs/>
          <w:color w:val="000000"/>
          <w:sz w:val="24"/>
          <w:szCs w:val="24"/>
          <w14:shadow w14:blurRad="50800" w14:dist="38100" w14:dir="2700000" w14:sx="100000" w14:sy="100000" w14:kx="0" w14:ky="0" w14:algn="tl">
            <w14:srgbClr w14:val="000000">
              <w14:alpha w14:val="60000"/>
            </w14:srgbClr>
          </w14:shadow>
        </w:rPr>
        <w:t xml:space="preserve">M e s </w:t>
      </w:r>
      <w:proofErr w:type="spellStart"/>
      <w:r w:rsidRPr="002613CA">
        <w:rPr>
          <w:rFonts w:ascii="MS Sans Serif" w:hAnsi="MS Sans Serif" w:cs="MS Sans Serif"/>
          <w:b/>
          <w:bCs/>
          <w:color w:val="000000"/>
          <w:sz w:val="24"/>
          <w:szCs w:val="24"/>
          <w14:shadow w14:blurRad="50800" w14:dist="38100" w14:dir="2700000" w14:sx="100000" w14:sy="100000" w14:kx="0" w14:ky="0" w14:algn="tl">
            <w14:srgbClr w14:val="000000">
              <w14:alpha w14:val="60000"/>
            </w14:srgbClr>
          </w14:shadow>
        </w:rPr>
        <w:t>s</w:t>
      </w:r>
      <w:proofErr w:type="spellEnd"/>
      <w:r w:rsidRPr="002613CA">
        <w:rPr>
          <w:rFonts w:ascii="MS Sans Serif" w:hAnsi="MS Sans Serif" w:cs="MS Sans Serif"/>
          <w:b/>
          <w:bCs/>
          <w:color w:val="000000"/>
          <w:sz w:val="24"/>
          <w:szCs w:val="24"/>
          <w14:shadow w14:blurRad="50800" w14:dist="38100" w14:dir="2700000" w14:sx="100000" w14:sy="100000" w14:kx="0" w14:ky="0" w14:algn="tl">
            <w14:srgbClr w14:val="000000">
              <w14:alpha w14:val="60000"/>
            </w14:srgbClr>
          </w14:shadow>
        </w:rPr>
        <w:t xml:space="preserve"> a g e</w:t>
      </w:r>
    </w:p>
    <w:p w14:paraId="17242C70" w14:textId="77777777" w:rsidR="002613CA" w:rsidRDefault="002613CA" w:rsidP="002613CA">
      <w:pPr>
        <w:autoSpaceDE w:val="0"/>
        <w:autoSpaceDN w:val="0"/>
        <w:adjustRightInd w:val="0"/>
        <w:spacing w:after="0" w:line="240" w:lineRule="auto"/>
        <w:jc w:val="both"/>
        <w:rPr>
          <w:rFonts w:ascii="MS Sans Serif" w:hAnsi="MS Sans Serif" w:cs="MS Sans Serif"/>
          <w:b/>
          <w:bCs/>
          <w:i/>
          <w:iCs/>
          <w:color w:val="000000"/>
        </w:rPr>
      </w:pPr>
      <w:r>
        <w:rPr>
          <w:rFonts w:ascii="MS Sans Serif" w:hAnsi="MS Sans Serif" w:cs="MS Sans Serif"/>
          <w:b/>
          <w:bCs/>
          <w:i/>
          <w:iCs/>
          <w:color w:val="000000"/>
        </w:rPr>
        <w:t>Cette information porte à votre connaissance les actions du Ministère du logement visant à accompagner les ménages en situation d‘impayés ou en difficulté de paiement de leurs charges de logement. Elles consistent en la réalisation d’un guide et la mise en place d’un numéro vert dédié. Ces éléments doivent être relayés à l’échelon local.</w:t>
      </w:r>
    </w:p>
    <w:p w14:paraId="61C98E31" w14:textId="77777777" w:rsidR="002613CA" w:rsidRDefault="002613CA" w:rsidP="002613CA">
      <w:pPr>
        <w:autoSpaceDE w:val="0"/>
        <w:autoSpaceDN w:val="0"/>
        <w:adjustRightInd w:val="0"/>
        <w:spacing w:after="0" w:line="240" w:lineRule="auto"/>
        <w:jc w:val="both"/>
        <w:rPr>
          <w:rFonts w:ascii="MS Sans Serif" w:hAnsi="MS Sans Serif" w:cs="MS Sans Serif"/>
          <w:b/>
          <w:bCs/>
          <w:i/>
          <w:iCs/>
          <w:color w:val="000000"/>
        </w:rPr>
      </w:pPr>
    </w:p>
    <w:p w14:paraId="0C60CEE9" w14:textId="77777777" w:rsidR="002613CA" w:rsidRDefault="002613CA" w:rsidP="002613CA">
      <w:pPr>
        <w:autoSpaceDE w:val="0"/>
        <w:autoSpaceDN w:val="0"/>
        <w:adjustRightInd w:val="0"/>
        <w:spacing w:after="0" w:line="240" w:lineRule="auto"/>
        <w:jc w:val="both"/>
        <w:rPr>
          <w:rFonts w:ascii="MS Sans Serif" w:hAnsi="MS Sans Serif" w:cs="MS Sans Serif"/>
          <w:b/>
          <w:bCs/>
          <w:i/>
          <w:iCs/>
          <w:color w:val="000000"/>
        </w:rPr>
      </w:pPr>
      <w:r>
        <w:rPr>
          <w:rFonts w:ascii="MS Sans Serif" w:hAnsi="MS Sans Serif" w:cs="MS Sans Serif"/>
          <w:b/>
          <w:bCs/>
          <w:i/>
          <w:iCs/>
          <w:color w:val="000000"/>
        </w:rPr>
        <w:t>Elle rappelle également le principe général de maintien des droits aux aides au logement en cas d’impayés dans le cadre de la procédure de traitement administratif et le mode opératoire applicable pour certaines situations.</w:t>
      </w:r>
    </w:p>
    <w:p w14:paraId="78EE83B4" w14:textId="77777777" w:rsidR="002613CA" w:rsidRDefault="002613CA" w:rsidP="002613CA">
      <w:pPr>
        <w:autoSpaceDE w:val="0"/>
        <w:autoSpaceDN w:val="0"/>
        <w:adjustRightInd w:val="0"/>
        <w:spacing w:after="0" w:line="240" w:lineRule="auto"/>
        <w:jc w:val="both"/>
        <w:rPr>
          <w:rFonts w:ascii="MS Sans Serif" w:hAnsi="MS Sans Serif" w:cs="MS Sans Serif"/>
          <w:b/>
          <w:bCs/>
          <w:i/>
          <w:iCs/>
          <w:color w:val="000000"/>
        </w:rPr>
      </w:pPr>
    </w:p>
    <w:p w14:paraId="713F8008" w14:textId="77777777" w:rsidR="002613CA" w:rsidRDefault="002613CA" w:rsidP="002613CA">
      <w:pPr>
        <w:autoSpaceDE w:val="0"/>
        <w:autoSpaceDN w:val="0"/>
        <w:adjustRightInd w:val="0"/>
        <w:spacing w:after="0" w:line="240" w:lineRule="auto"/>
        <w:jc w:val="both"/>
        <w:rPr>
          <w:rFonts w:ascii="MS Sans Serif" w:hAnsi="MS Sans Serif" w:cs="MS Sans Serif"/>
          <w:b/>
          <w:bCs/>
          <w:i/>
          <w:iCs/>
          <w:color w:val="000000"/>
        </w:rPr>
      </w:pPr>
    </w:p>
    <w:p w14:paraId="2C1FA59F" w14:textId="77777777" w:rsidR="002613CA" w:rsidRDefault="002613CA" w:rsidP="002613CA">
      <w:pPr>
        <w:tabs>
          <w:tab w:val="left" w:pos="567"/>
        </w:tabs>
        <w:autoSpaceDE w:val="0"/>
        <w:autoSpaceDN w:val="0"/>
        <w:adjustRightInd w:val="0"/>
        <w:spacing w:after="0" w:line="240" w:lineRule="auto"/>
        <w:ind w:left="567" w:hanging="567"/>
        <w:jc w:val="both"/>
        <w:rPr>
          <w:rFonts w:ascii="MS Sans Serif" w:hAnsi="MS Sans Serif" w:cs="MS Sans Serif"/>
          <w:b/>
          <w:bCs/>
          <w:color w:val="000000"/>
        </w:rPr>
      </w:pPr>
      <w:r>
        <w:rPr>
          <w:rFonts w:ascii="MS Sans Serif" w:hAnsi="MS Sans Serif" w:cs="MS Sans Serif"/>
          <w:b/>
          <w:bCs/>
          <w:color w:val="000000"/>
        </w:rPr>
        <w:t>1.</w:t>
      </w:r>
      <w:r>
        <w:rPr>
          <w:rFonts w:ascii="MS Sans Serif" w:hAnsi="MS Sans Serif" w:cs="MS Sans Serif"/>
          <w:b/>
          <w:bCs/>
          <w:color w:val="000000"/>
        </w:rPr>
        <w:tab/>
        <w:t>Publication d’un guide sur les aides en cas d’impayés de loyer et mise en place d’un numéro vert pour accompagner les ménages en risque ou en situation d’impayés de logement.</w:t>
      </w:r>
    </w:p>
    <w:p w14:paraId="5521A232" w14:textId="77777777" w:rsidR="002613CA" w:rsidRDefault="002613CA" w:rsidP="002613CA">
      <w:pPr>
        <w:tabs>
          <w:tab w:val="left" w:pos="426"/>
        </w:tabs>
        <w:autoSpaceDE w:val="0"/>
        <w:autoSpaceDN w:val="0"/>
        <w:adjustRightInd w:val="0"/>
        <w:spacing w:after="0" w:line="240" w:lineRule="auto"/>
        <w:jc w:val="both"/>
        <w:rPr>
          <w:rFonts w:ascii="MS Sans Serif" w:hAnsi="MS Sans Serif" w:cs="MS Sans Serif"/>
          <w:b/>
          <w:bCs/>
          <w:color w:val="000000"/>
        </w:rPr>
      </w:pPr>
    </w:p>
    <w:p w14:paraId="0658456A" w14:textId="77777777" w:rsidR="002613CA" w:rsidRDefault="002613CA" w:rsidP="002613CA">
      <w:pPr>
        <w:tabs>
          <w:tab w:val="left" w:pos="426"/>
        </w:tabs>
        <w:autoSpaceDE w:val="0"/>
        <w:autoSpaceDN w:val="0"/>
        <w:adjustRightInd w:val="0"/>
        <w:spacing w:after="0" w:line="240" w:lineRule="auto"/>
        <w:jc w:val="both"/>
        <w:rPr>
          <w:rFonts w:ascii="MS Sans Serif" w:hAnsi="MS Sans Serif" w:cs="MS Sans Serif"/>
          <w:color w:val="000000"/>
        </w:rPr>
      </w:pPr>
      <w:r>
        <w:rPr>
          <w:rFonts w:ascii="MS Sans Serif" w:hAnsi="MS Sans Serif" w:cs="MS Sans Serif"/>
          <w:color w:val="000000"/>
        </w:rPr>
        <w:t xml:space="preserve">Dans le contexte de la sortie de crise sanitaire et du renforcement des actions de prévention des situations d’impayés locatifs et d’expulsion, le ministère en charge du logement a réalisé avec l’Anil un guide recensant les ressources disponibles pour les ménages en situation d’impayés de loyer ou qui risquent de le devenir. </w:t>
      </w:r>
    </w:p>
    <w:p w14:paraId="036BA08B" w14:textId="77777777" w:rsidR="002613CA" w:rsidRDefault="002613CA" w:rsidP="002613CA">
      <w:pPr>
        <w:tabs>
          <w:tab w:val="left" w:pos="426"/>
        </w:tabs>
        <w:autoSpaceDE w:val="0"/>
        <w:autoSpaceDN w:val="0"/>
        <w:adjustRightInd w:val="0"/>
        <w:spacing w:after="0" w:line="240" w:lineRule="auto"/>
        <w:jc w:val="both"/>
        <w:rPr>
          <w:rFonts w:ascii="MS Sans Serif" w:hAnsi="MS Sans Serif" w:cs="MS Sans Serif"/>
          <w:color w:val="000000"/>
        </w:rPr>
      </w:pPr>
    </w:p>
    <w:p w14:paraId="52FAAE57" w14:textId="77777777" w:rsidR="002613CA" w:rsidRDefault="002613CA" w:rsidP="002613CA">
      <w:pPr>
        <w:autoSpaceDE w:val="0"/>
        <w:autoSpaceDN w:val="0"/>
        <w:adjustRightInd w:val="0"/>
        <w:spacing w:after="0" w:line="240" w:lineRule="auto"/>
        <w:jc w:val="both"/>
        <w:rPr>
          <w:rFonts w:ascii="MS Sans Serif" w:hAnsi="MS Sans Serif" w:cs="MS Sans Serif"/>
          <w:color w:val="000000"/>
        </w:rPr>
      </w:pPr>
      <w:r>
        <w:rPr>
          <w:rFonts w:ascii="MS Sans Serif" w:hAnsi="MS Sans Serif" w:cs="MS Sans Serif"/>
          <w:color w:val="000000"/>
        </w:rPr>
        <w:t>Ce guide précise les différentes aides existantes des collectivités territoriales comme les Fonds de solidarité pour le logement (</w:t>
      </w:r>
      <w:proofErr w:type="spellStart"/>
      <w:r>
        <w:rPr>
          <w:rFonts w:ascii="MS Sans Serif" w:hAnsi="MS Sans Serif" w:cs="MS Sans Serif"/>
          <w:color w:val="000000"/>
        </w:rPr>
        <w:t>Fsl</w:t>
      </w:r>
      <w:proofErr w:type="spellEnd"/>
      <w:r>
        <w:rPr>
          <w:rFonts w:ascii="MS Sans Serif" w:hAnsi="MS Sans Serif" w:cs="MS Sans Serif"/>
          <w:color w:val="000000"/>
        </w:rPr>
        <w:t>), des Caisses d’allocations familiales (Caf), des Mutualités sociale agricole (</w:t>
      </w:r>
      <w:proofErr w:type="spellStart"/>
      <w:r>
        <w:rPr>
          <w:rFonts w:ascii="MS Sans Serif" w:hAnsi="MS Sans Serif" w:cs="MS Sans Serif"/>
          <w:color w:val="000000"/>
        </w:rPr>
        <w:t>Msa</w:t>
      </w:r>
      <w:proofErr w:type="spellEnd"/>
      <w:r>
        <w:rPr>
          <w:rFonts w:ascii="MS Sans Serif" w:hAnsi="MS Sans Serif" w:cs="MS Sans Serif"/>
          <w:color w:val="000000"/>
        </w:rPr>
        <w:t xml:space="preserve">), d’Action logement, des bailleurs sociaux ou du secteur associatif. </w:t>
      </w:r>
    </w:p>
    <w:p w14:paraId="75FF2222" w14:textId="77777777" w:rsidR="002613CA" w:rsidRDefault="002613CA" w:rsidP="002613CA">
      <w:pPr>
        <w:tabs>
          <w:tab w:val="left" w:pos="426"/>
        </w:tabs>
        <w:autoSpaceDE w:val="0"/>
        <w:autoSpaceDN w:val="0"/>
        <w:adjustRightInd w:val="0"/>
        <w:spacing w:after="0" w:line="240" w:lineRule="auto"/>
        <w:jc w:val="both"/>
        <w:rPr>
          <w:rFonts w:ascii="MS Sans Serif" w:hAnsi="MS Sans Serif" w:cs="MS Sans Serif"/>
          <w:color w:val="000000"/>
        </w:rPr>
      </w:pPr>
    </w:p>
    <w:p w14:paraId="57CD6D15" w14:textId="77777777" w:rsidR="002613CA" w:rsidRDefault="002613CA" w:rsidP="002613CA">
      <w:pPr>
        <w:autoSpaceDE w:val="0"/>
        <w:autoSpaceDN w:val="0"/>
        <w:adjustRightInd w:val="0"/>
        <w:spacing w:after="0" w:line="240" w:lineRule="auto"/>
        <w:jc w:val="both"/>
        <w:rPr>
          <w:rFonts w:ascii="MS Sans Serif" w:hAnsi="MS Sans Serif" w:cs="MS Sans Serif"/>
          <w:color w:val="000000"/>
        </w:rPr>
      </w:pPr>
      <w:r>
        <w:rPr>
          <w:rFonts w:ascii="MS Sans Serif" w:hAnsi="MS Sans Serif" w:cs="MS Sans Serif"/>
          <w:color w:val="000000"/>
        </w:rPr>
        <w:t xml:space="preserve">Par ailleurs, un service téléphonique dédié : « SOS impayés de loyer » offre un service gratuit d’écoute et d’information juridique et experte, délivré par les agences départementales </w:t>
      </w:r>
      <w:r>
        <w:rPr>
          <w:rFonts w:ascii="MS Sans Serif" w:hAnsi="MS Sans Serif" w:cs="MS Sans Serif"/>
          <w:color w:val="000000"/>
        </w:rPr>
        <w:lastRenderedPageBreak/>
        <w:t>d’information sur le logement (Adil), (numéro vert gratuit, ouvert du lundi au vendredi 08</w:t>
      </w:r>
      <w:r>
        <w:rPr>
          <w:rFonts w:ascii="Helv" w:hAnsi="Helv" w:cs="Helv"/>
          <w:color w:val="000000"/>
        </w:rPr>
        <w:t>.</w:t>
      </w:r>
      <w:r>
        <w:rPr>
          <w:rFonts w:ascii="MS Sans Serif" w:hAnsi="MS Sans Serif" w:cs="MS Sans Serif"/>
          <w:color w:val="000000"/>
        </w:rPr>
        <w:t>05</w:t>
      </w:r>
      <w:r>
        <w:rPr>
          <w:rFonts w:ascii="Helv" w:hAnsi="Helv" w:cs="Helv"/>
          <w:color w:val="000000"/>
        </w:rPr>
        <w:t>.</w:t>
      </w:r>
      <w:r>
        <w:rPr>
          <w:rFonts w:ascii="MS Sans Serif" w:hAnsi="MS Sans Serif" w:cs="MS Sans Serif"/>
          <w:color w:val="000000"/>
        </w:rPr>
        <w:t>16</w:t>
      </w:r>
      <w:r>
        <w:rPr>
          <w:rFonts w:ascii="Helv" w:hAnsi="Helv" w:cs="Helv"/>
          <w:color w:val="000000"/>
        </w:rPr>
        <w:t>.00.</w:t>
      </w:r>
      <w:r>
        <w:rPr>
          <w:rFonts w:ascii="MS Sans Serif" w:hAnsi="MS Sans Serif" w:cs="MS Sans Serif"/>
          <w:color w:val="000000"/>
        </w:rPr>
        <w:t xml:space="preserve">75).  </w:t>
      </w:r>
    </w:p>
    <w:p w14:paraId="7EDEACD8" w14:textId="77777777" w:rsidR="002613CA" w:rsidRDefault="002613CA" w:rsidP="002613CA">
      <w:pPr>
        <w:autoSpaceDE w:val="0"/>
        <w:autoSpaceDN w:val="0"/>
        <w:adjustRightInd w:val="0"/>
        <w:spacing w:after="0" w:line="240" w:lineRule="auto"/>
        <w:jc w:val="both"/>
        <w:rPr>
          <w:rFonts w:ascii="MS Sans Serif" w:hAnsi="MS Sans Serif" w:cs="MS Sans Serif"/>
          <w:color w:val="000000"/>
        </w:rPr>
      </w:pPr>
    </w:p>
    <w:p w14:paraId="3F99E217" w14:textId="77777777" w:rsidR="002613CA" w:rsidRDefault="002613CA" w:rsidP="002613CA">
      <w:pPr>
        <w:autoSpaceDE w:val="0"/>
        <w:autoSpaceDN w:val="0"/>
        <w:adjustRightInd w:val="0"/>
        <w:spacing w:after="0" w:line="240" w:lineRule="auto"/>
        <w:jc w:val="both"/>
        <w:rPr>
          <w:rFonts w:ascii="MS Sans Serif" w:hAnsi="MS Sans Serif" w:cs="MS Sans Serif"/>
          <w:color w:val="000000"/>
        </w:rPr>
      </w:pPr>
      <w:r>
        <w:rPr>
          <w:rFonts w:ascii="MS Sans Serif" w:hAnsi="MS Sans Serif" w:cs="MS Sans Serif"/>
          <w:color w:val="000000"/>
        </w:rPr>
        <w:t>Je vous remercie de relayer ces informations auprès de vos publics et partenaires de terrain qui participent aux leviers de la prévention des impayés et des risques d’expulsions. Ces informations seront par ailleurs prochainement relayées sur les pages allocataires du Caf.fr</w:t>
      </w:r>
    </w:p>
    <w:p w14:paraId="0D835D82" w14:textId="77777777" w:rsidR="002613CA" w:rsidRDefault="002613CA" w:rsidP="002613CA">
      <w:pPr>
        <w:autoSpaceDE w:val="0"/>
        <w:autoSpaceDN w:val="0"/>
        <w:adjustRightInd w:val="0"/>
        <w:spacing w:after="0" w:line="240" w:lineRule="auto"/>
        <w:jc w:val="both"/>
        <w:rPr>
          <w:rFonts w:ascii="MS Sans Serif" w:hAnsi="MS Sans Serif" w:cs="MS Sans Serif"/>
          <w:color w:val="000000"/>
        </w:rPr>
      </w:pPr>
    </w:p>
    <w:p w14:paraId="03A6ECD7" w14:textId="77777777" w:rsidR="002613CA" w:rsidRDefault="002613CA" w:rsidP="002613CA">
      <w:pPr>
        <w:autoSpaceDE w:val="0"/>
        <w:autoSpaceDN w:val="0"/>
        <w:adjustRightInd w:val="0"/>
        <w:spacing w:after="0" w:line="240" w:lineRule="auto"/>
        <w:jc w:val="both"/>
        <w:rPr>
          <w:rFonts w:ascii="MS Sans Serif" w:hAnsi="MS Sans Serif" w:cs="MS Sans Serif"/>
          <w:color w:val="000000"/>
        </w:rPr>
      </w:pPr>
    </w:p>
    <w:p w14:paraId="35D8B8D1" w14:textId="77777777" w:rsidR="002613CA" w:rsidRDefault="002613CA" w:rsidP="002613CA">
      <w:pPr>
        <w:autoSpaceDE w:val="0"/>
        <w:autoSpaceDN w:val="0"/>
        <w:adjustRightInd w:val="0"/>
        <w:spacing w:after="0" w:line="240" w:lineRule="auto"/>
        <w:ind w:left="567" w:hanging="567"/>
        <w:jc w:val="both"/>
        <w:rPr>
          <w:rFonts w:ascii="MS Sans Serif" w:hAnsi="MS Sans Serif" w:cs="MS Sans Serif"/>
          <w:b/>
          <w:bCs/>
          <w:color w:val="000000"/>
        </w:rPr>
      </w:pPr>
      <w:r>
        <w:rPr>
          <w:rFonts w:ascii="MS Sans Serif" w:hAnsi="MS Sans Serif" w:cs="MS Sans Serif"/>
          <w:b/>
          <w:bCs/>
          <w:color w:val="000000"/>
        </w:rPr>
        <w:t>2.</w:t>
      </w:r>
      <w:r>
        <w:rPr>
          <w:rFonts w:ascii="MS Sans Serif" w:hAnsi="MS Sans Serif" w:cs="MS Sans Serif"/>
          <w:b/>
          <w:bCs/>
          <w:color w:val="000000"/>
        </w:rPr>
        <w:tab/>
        <w:t xml:space="preserve">Maintien des aides personnelles au logement dans le cadre du traitement administratif des situations d’impayés </w:t>
      </w:r>
    </w:p>
    <w:p w14:paraId="5636F30E" w14:textId="77777777" w:rsidR="002613CA" w:rsidRDefault="002613CA" w:rsidP="002613CA">
      <w:pPr>
        <w:autoSpaceDE w:val="0"/>
        <w:autoSpaceDN w:val="0"/>
        <w:adjustRightInd w:val="0"/>
        <w:spacing w:after="0" w:line="240" w:lineRule="auto"/>
        <w:jc w:val="both"/>
        <w:rPr>
          <w:rFonts w:ascii="MS Sans Serif" w:hAnsi="MS Sans Serif" w:cs="MS Sans Serif"/>
          <w:b/>
          <w:bCs/>
          <w:color w:val="000000"/>
        </w:rPr>
      </w:pPr>
    </w:p>
    <w:p w14:paraId="151744B8" w14:textId="77777777" w:rsidR="002613CA" w:rsidRDefault="002613CA" w:rsidP="002613CA">
      <w:pPr>
        <w:autoSpaceDE w:val="0"/>
        <w:autoSpaceDN w:val="0"/>
        <w:adjustRightInd w:val="0"/>
        <w:spacing w:after="0" w:line="240" w:lineRule="auto"/>
        <w:jc w:val="both"/>
        <w:rPr>
          <w:rFonts w:ascii="MS Sans Serif" w:hAnsi="MS Sans Serif" w:cs="MS Sans Serif"/>
          <w:color w:val="000000"/>
        </w:rPr>
      </w:pPr>
      <w:r>
        <w:rPr>
          <w:rFonts w:ascii="MS Sans Serif" w:hAnsi="MS Sans Serif" w:cs="MS Sans Serif"/>
          <w:color w:val="000000"/>
        </w:rPr>
        <w:t xml:space="preserve">Dans le prolongement de l’instruction diffusée le 7 juillet 2021 relative à la contribution des Caf en matière de prévention des expulsions en lien avec la crise sanitaire et la levée de la trêve hivernale (LR n°2021-037), la présente information rappelle le principe du maintien des aides personnelles au logement dans le cadre du traitement administratif des impayés (cf. circulaire </w:t>
      </w:r>
      <w:proofErr w:type="spellStart"/>
      <w:r>
        <w:rPr>
          <w:rFonts w:ascii="MS Sans Serif" w:hAnsi="MS Sans Serif" w:cs="MS Sans Serif"/>
          <w:color w:val="000000"/>
        </w:rPr>
        <w:t>Cnaf</w:t>
      </w:r>
      <w:proofErr w:type="spellEnd"/>
      <w:r>
        <w:rPr>
          <w:rFonts w:ascii="MS Sans Serif" w:hAnsi="MS Sans Serif" w:cs="MS Sans Serif"/>
          <w:color w:val="000000"/>
        </w:rPr>
        <w:t xml:space="preserve"> 2017-004 du 27/09/2017 relative à la réforme du traitement des impayés). </w:t>
      </w:r>
    </w:p>
    <w:p w14:paraId="38B3F826" w14:textId="77777777" w:rsidR="002613CA" w:rsidRDefault="002613CA" w:rsidP="002613CA">
      <w:pPr>
        <w:autoSpaceDE w:val="0"/>
        <w:autoSpaceDN w:val="0"/>
        <w:adjustRightInd w:val="0"/>
        <w:spacing w:after="0" w:line="240" w:lineRule="auto"/>
        <w:jc w:val="both"/>
        <w:rPr>
          <w:rFonts w:ascii="MS Sans Serif" w:hAnsi="MS Sans Serif" w:cs="MS Sans Serif"/>
          <w:color w:val="000000"/>
        </w:rPr>
      </w:pPr>
    </w:p>
    <w:p w14:paraId="6B439136" w14:textId="77777777" w:rsidR="002613CA" w:rsidRDefault="002613CA" w:rsidP="002613CA">
      <w:pPr>
        <w:autoSpaceDE w:val="0"/>
        <w:autoSpaceDN w:val="0"/>
        <w:adjustRightInd w:val="0"/>
        <w:spacing w:after="0" w:line="240" w:lineRule="auto"/>
        <w:jc w:val="both"/>
        <w:rPr>
          <w:rFonts w:ascii="MS Sans Serif" w:hAnsi="MS Sans Serif" w:cs="MS Sans Serif"/>
          <w:color w:val="000000"/>
        </w:rPr>
      </w:pPr>
      <w:r>
        <w:rPr>
          <w:rFonts w:ascii="MS Sans Serif" w:hAnsi="MS Sans Serif" w:cs="MS Sans Serif"/>
          <w:color w:val="000000"/>
        </w:rPr>
        <w:t xml:space="preserve">La loi Alur du 24 mars 2014 vise à favoriser l’accès et le maintien dans le logement, en protégeant les populations les plus vulnérables, par un renforcement des dispositifs de prévention des expulsions locatives. Le principe du maintien des aides au logement, sauf cas particulier, participe à la prévention des expulsions. </w:t>
      </w:r>
    </w:p>
    <w:p w14:paraId="1A26A26E" w14:textId="77777777" w:rsidR="002613CA" w:rsidRDefault="002613CA" w:rsidP="002613CA">
      <w:pPr>
        <w:autoSpaceDE w:val="0"/>
        <w:autoSpaceDN w:val="0"/>
        <w:adjustRightInd w:val="0"/>
        <w:spacing w:after="0" w:line="240" w:lineRule="auto"/>
        <w:jc w:val="both"/>
        <w:rPr>
          <w:rFonts w:ascii="MS Sans Serif" w:hAnsi="MS Sans Serif" w:cs="MS Sans Serif"/>
          <w:color w:val="000000"/>
        </w:rPr>
      </w:pPr>
    </w:p>
    <w:p w14:paraId="57321952" w14:textId="77777777" w:rsidR="002613CA" w:rsidRDefault="002613CA" w:rsidP="002613CA">
      <w:pPr>
        <w:autoSpaceDE w:val="0"/>
        <w:autoSpaceDN w:val="0"/>
        <w:adjustRightInd w:val="0"/>
        <w:spacing w:after="0" w:line="240" w:lineRule="auto"/>
        <w:jc w:val="both"/>
        <w:rPr>
          <w:rFonts w:ascii="MS Sans Serif" w:hAnsi="MS Sans Serif" w:cs="MS Sans Serif"/>
          <w:color w:val="000000"/>
        </w:rPr>
      </w:pPr>
      <w:r>
        <w:rPr>
          <w:rFonts w:ascii="MS Sans Serif" w:hAnsi="MS Sans Serif" w:cs="MS Sans Serif"/>
          <w:color w:val="000000"/>
        </w:rPr>
        <w:t>Le maintien du versement des aides au logement en cas d’impayés constitue ainsi la règle pour les ménages de bonne foi. Par opposition, la suspension des aides intervient uniquement lorsque l’allocataire ne respecte pas ses engagements, à l’exception des situations sociales caractérisées comme difficiles pour lesquelles la Caf a la possibilité de maintenir la prestation.</w:t>
      </w:r>
    </w:p>
    <w:p w14:paraId="380243F1" w14:textId="77777777" w:rsidR="002613CA" w:rsidRDefault="002613CA" w:rsidP="002613CA">
      <w:pPr>
        <w:autoSpaceDE w:val="0"/>
        <w:autoSpaceDN w:val="0"/>
        <w:adjustRightInd w:val="0"/>
        <w:spacing w:after="0" w:line="240" w:lineRule="auto"/>
        <w:jc w:val="both"/>
        <w:rPr>
          <w:rFonts w:ascii="MS Sans Serif" w:hAnsi="MS Sans Serif" w:cs="MS Sans Serif"/>
          <w:color w:val="000000"/>
        </w:rPr>
      </w:pPr>
    </w:p>
    <w:p w14:paraId="49F556A2" w14:textId="77777777" w:rsidR="002613CA" w:rsidRDefault="002613CA" w:rsidP="002613CA">
      <w:pPr>
        <w:autoSpaceDE w:val="0"/>
        <w:autoSpaceDN w:val="0"/>
        <w:adjustRightInd w:val="0"/>
        <w:spacing w:after="0" w:line="240" w:lineRule="auto"/>
        <w:jc w:val="both"/>
        <w:rPr>
          <w:rFonts w:ascii="MS Sans Serif" w:hAnsi="MS Sans Serif" w:cs="MS Sans Serif"/>
          <w:color w:val="000000"/>
        </w:rPr>
      </w:pPr>
      <w:r>
        <w:rPr>
          <w:rFonts w:ascii="MS Sans Serif" w:hAnsi="MS Sans Serif" w:cs="MS Sans Serif"/>
          <w:color w:val="000000"/>
        </w:rPr>
        <w:t xml:space="preserve">La mise en œuvre du maintien de l’aide est réalisée automatiquement via le système d’information, exception faite en </w:t>
      </w:r>
      <w:proofErr w:type="spellStart"/>
      <w:r>
        <w:rPr>
          <w:rFonts w:ascii="MS Sans Serif" w:hAnsi="MS Sans Serif" w:cs="MS Sans Serif"/>
          <w:color w:val="000000"/>
        </w:rPr>
        <w:t>Apl</w:t>
      </w:r>
      <w:proofErr w:type="spellEnd"/>
      <w:r>
        <w:rPr>
          <w:rFonts w:ascii="MS Sans Serif" w:hAnsi="MS Sans Serif" w:cs="MS Sans Serif"/>
          <w:color w:val="000000"/>
        </w:rPr>
        <w:t xml:space="preserve"> en l’absence de protocole de cohésion sociale, pour les cas de résiliation du bail par décision judiciaire pour défaut de paiement de loyer et de charges, assortie de l’acquittement d’une indemnité d‘occupation : pour ce type de situation, le maintien est réalisé par application du mode opératoire diffusé par voie d’I.T. n° 2019-184 en date du 20/11/2019. </w:t>
      </w:r>
    </w:p>
    <w:p w14:paraId="640955C6" w14:textId="77777777" w:rsidR="002613CA" w:rsidRDefault="002613CA" w:rsidP="002613CA">
      <w:pPr>
        <w:autoSpaceDE w:val="0"/>
        <w:autoSpaceDN w:val="0"/>
        <w:adjustRightInd w:val="0"/>
        <w:spacing w:after="0" w:line="240" w:lineRule="auto"/>
        <w:jc w:val="both"/>
        <w:rPr>
          <w:rFonts w:ascii="MS Sans Serif" w:hAnsi="MS Sans Serif" w:cs="MS Sans Serif"/>
          <w:color w:val="000000"/>
        </w:rPr>
      </w:pPr>
    </w:p>
    <w:p w14:paraId="552C6D5D" w14:textId="77777777" w:rsidR="002613CA" w:rsidRDefault="002613CA" w:rsidP="002613CA">
      <w:pPr>
        <w:autoSpaceDE w:val="0"/>
        <w:autoSpaceDN w:val="0"/>
        <w:adjustRightInd w:val="0"/>
        <w:spacing w:after="0" w:line="240" w:lineRule="auto"/>
        <w:jc w:val="both"/>
        <w:rPr>
          <w:rFonts w:ascii="MS Sans Serif" w:hAnsi="MS Sans Serif" w:cs="MS Sans Serif"/>
          <w:color w:val="000000"/>
        </w:rPr>
      </w:pPr>
      <w:r>
        <w:rPr>
          <w:rFonts w:ascii="MS Sans Serif" w:hAnsi="MS Sans Serif" w:cs="MS Sans Serif"/>
          <w:color w:val="000000"/>
        </w:rPr>
        <w:t>Je vous invite à veiller à la mise en œuvre effective de ce mode opératoire qui vise à garantir la poursuite des droits à l’aide personnalisée au logement (</w:t>
      </w:r>
      <w:proofErr w:type="spellStart"/>
      <w:r>
        <w:rPr>
          <w:rFonts w:ascii="MS Sans Serif" w:hAnsi="MS Sans Serif" w:cs="MS Sans Serif"/>
          <w:color w:val="000000"/>
        </w:rPr>
        <w:t>Apl</w:t>
      </w:r>
      <w:proofErr w:type="spellEnd"/>
      <w:r>
        <w:rPr>
          <w:rFonts w:ascii="MS Sans Serif" w:hAnsi="MS Sans Serif" w:cs="MS Sans Serif"/>
          <w:color w:val="000000"/>
        </w:rPr>
        <w:t>) sur la base de l’indemnité d’occupation fixée par décision judiciaire et jusqu’à l’exécution du commandement de quitter les lieux, c’est-à-dire jusqu’à la sortie effective de l’occupant.</w:t>
      </w:r>
    </w:p>
    <w:p w14:paraId="246C59DC" w14:textId="77777777" w:rsidR="002613CA" w:rsidRDefault="002613CA" w:rsidP="002613CA">
      <w:pPr>
        <w:autoSpaceDE w:val="0"/>
        <w:autoSpaceDN w:val="0"/>
        <w:adjustRightInd w:val="0"/>
        <w:spacing w:after="0" w:line="240" w:lineRule="auto"/>
        <w:jc w:val="both"/>
        <w:rPr>
          <w:rFonts w:ascii="MS Sans Serif" w:hAnsi="MS Sans Serif" w:cs="MS Sans Serif"/>
          <w:color w:val="000000"/>
        </w:rPr>
      </w:pPr>
    </w:p>
    <w:p w14:paraId="6BC014ED" w14:textId="77777777" w:rsidR="002613CA" w:rsidRDefault="002613CA" w:rsidP="002613CA">
      <w:pPr>
        <w:autoSpaceDE w:val="0"/>
        <w:autoSpaceDN w:val="0"/>
        <w:adjustRightInd w:val="0"/>
        <w:spacing w:after="0" w:line="240" w:lineRule="auto"/>
        <w:jc w:val="both"/>
        <w:rPr>
          <w:rFonts w:ascii="MS Sans Serif" w:hAnsi="MS Sans Serif" w:cs="MS Sans Serif"/>
          <w:color w:val="000000"/>
        </w:rPr>
      </w:pPr>
      <w:r>
        <w:rPr>
          <w:rFonts w:ascii="MS Sans Serif" w:hAnsi="MS Sans Serif" w:cs="MS Sans Serif"/>
          <w:color w:val="000000"/>
        </w:rPr>
        <w:t xml:space="preserve">Vous trouverez en annexe un récapitulatif des cas de maintien des aides personnelles au logement au regard de l’apurement de la dette et du paiement de la dépense courante de logement. </w:t>
      </w:r>
    </w:p>
    <w:p w14:paraId="42EFB74B" w14:textId="77777777" w:rsidR="002613CA" w:rsidRDefault="002613CA" w:rsidP="002613CA">
      <w:pPr>
        <w:autoSpaceDE w:val="0"/>
        <w:autoSpaceDN w:val="0"/>
        <w:adjustRightInd w:val="0"/>
        <w:spacing w:after="0" w:line="240" w:lineRule="auto"/>
        <w:jc w:val="center"/>
        <w:rPr>
          <w:rFonts w:ascii="MS Sans Serif" w:hAnsi="MS Sans Serif" w:cs="MS Sans Serif"/>
          <w:color w:val="000000"/>
        </w:rPr>
      </w:pPr>
    </w:p>
    <w:p w14:paraId="01578101" w14:textId="77777777" w:rsidR="002613CA" w:rsidRDefault="002613CA" w:rsidP="002613CA">
      <w:pPr>
        <w:autoSpaceDE w:val="0"/>
        <w:autoSpaceDN w:val="0"/>
        <w:adjustRightInd w:val="0"/>
        <w:spacing w:after="0" w:line="240" w:lineRule="auto"/>
        <w:rPr>
          <w:rFonts w:ascii="MS Sans Serif" w:hAnsi="MS Sans Serif" w:cs="MS Sans Serif"/>
          <w:color w:val="000000"/>
        </w:rPr>
      </w:pPr>
    </w:p>
    <w:p w14:paraId="7C543BE1" w14:textId="77777777" w:rsidR="0095564A" w:rsidRDefault="00061B7E"/>
    <w:sectPr w:rsidR="0095564A" w:rsidSect="0051719C">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3CA"/>
    <w:rsid w:val="00061B7E"/>
    <w:rsid w:val="002613CA"/>
    <w:rsid w:val="002F13E4"/>
    <w:rsid w:val="005B38D8"/>
    <w:rsid w:val="00A12FB1"/>
    <w:rsid w:val="00C854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EFD8F"/>
  <w15:chartTrackingRefBased/>
  <w15:docId w15:val="{DFAF161A-DEAF-46BE-85CD-09776296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4333</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Jean-Marc BEDON 755</dc:creator>
  <cp:keywords/>
  <dc:description/>
  <cp:lastModifiedBy>Antoine Math</cp:lastModifiedBy>
  <cp:revision>2</cp:revision>
  <dcterms:created xsi:type="dcterms:W3CDTF">2021-12-07T13:25:00Z</dcterms:created>
  <dcterms:modified xsi:type="dcterms:W3CDTF">2021-12-07T13:25:00Z</dcterms:modified>
</cp:coreProperties>
</file>