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948" w:rsidRPr="001B30BC" w:rsidRDefault="002C3948" w:rsidP="001B30BC">
      <w:pPr>
        <w:jc w:val="both"/>
        <w:rPr>
          <w:b/>
          <w:color w:val="C90081" w:themeColor="accent3"/>
          <w:szCs w:val="20"/>
        </w:rPr>
      </w:pPr>
      <w:bookmarkStart w:id="0" w:name="_GoBack"/>
      <w:bookmarkEnd w:id="0"/>
      <w:r w:rsidRPr="001B30BC">
        <w:rPr>
          <w:b/>
          <w:noProof/>
          <w:color w:val="C90081" w:themeColor="accent3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-604520</wp:posOffset>
            </wp:positionV>
            <wp:extent cx="1495425" cy="581025"/>
            <wp:effectExtent l="19050" t="0" r="9525" b="0"/>
            <wp:wrapThrough wrapText="bothSides">
              <wp:wrapPolygon edited="0">
                <wp:start x="-275" y="0"/>
                <wp:lineTo x="-275" y="21246"/>
                <wp:lineTo x="21738" y="21246"/>
                <wp:lineTo x="21738" y="0"/>
                <wp:lineTo x="-275" y="0"/>
              </wp:wrapPolygon>
            </wp:wrapThrough>
            <wp:docPr id="1" name="Image 1" descr="C:\Users\unccas\AppData\Local\Microsoft\Windows\Temporary Internet Files\Content.Outlook\5JGV0OR0\Nouveau logo UNCCAS 2015_CMJ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nccas\AppData\Local\Microsoft\Windows\Temporary Internet Files\Content.Outlook\5JGV0OR0\Nouveau logo UNCCAS 2015_CMJN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948" w:rsidRPr="00284D5A" w:rsidRDefault="002C3948" w:rsidP="001B30BC">
      <w:pPr>
        <w:jc w:val="both"/>
        <w:rPr>
          <w:b/>
          <w:szCs w:val="20"/>
        </w:rPr>
      </w:pPr>
      <w:r w:rsidRPr="00284D5A">
        <w:rPr>
          <w:b/>
          <w:szCs w:val="20"/>
        </w:rPr>
        <w:t xml:space="preserve">Politiques sociales : </w:t>
      </w:r>
      <w:r w:rsidRPr="00284D5A">
        <w:rPr>
          <w:szCs w:val="20"/>
        </w:rPr>
        <w:t>Accès aux droits, Domiciliation</w:t>
      </w:r>
    </w:p>
    <w:p w:rsidR="002C3948" w:rsidRPr="00284D5A" w:rsidRDefault="002C3948" w:rsidP="001B30BC">
      <w:pPr>
        <w:jc w:val="both"/>
        <w:rPr>
          <w:b/>
          <w:szCs w:val="20"/>
        </w:rPr>
      </w:pPr>
      <w:r w:rsidRPr="00284D5A">
        <w:rPr>
          <w:b/>
          <w:szCs w:val="20"/>
        </w:rPr>
        <w:t xml:space="preserve">Date de création : </w:t>
      </w:r>
      <w:r w:rsidRPr="00284D5A">
        <w:rPr>
          <w:szCs w:val="20"/>
        </w:rPr>
        <w:t>19 / 09 / 2016</w:t>
      </w:r>
    </w:p>
    <w:p w:rsidR="002C3948" w:rsidRPr="001B30BC" w:rsidRDefault="002C3948" w:rsidP="001B30BC">
      <w:pPr>
        <w:jc w:val="both"/>
        <w:rPr>
          <w:b/>
          <w:color w:val="C90081" w:themeColor="accent3"/>
          <w:szCs w:val="20"/>
        </w:rPr>
      </w:pPr>
    </w:p>
    <w:p w:rsidR="002C3948" w:rsidRPr="001B30BC" w:rsidRDefault="002C3948" w:rsidP="001B30BC">
      <w:pPr>
        <w:jc w:val="both"/>
        <w:rPr>
          <w:b/>
          <w:color w:val="C90081" w:themeColor="accent3"/>
          <w:szCs w:val="20"/>
        </w:rPr>
      </w:pPr>
      <w:r w:rsidRPr="001B30BC">
        <w:rPr>
          <w:b/>
          <w:color w:val="C90081" w:themeColor="accent3"/>
          <w:szCs w:val="20"/>
        </w:rPr>
        <w:t xml:space="preserve"> </w:t>
      </w:r>
    </w:p>
    <w:p w:rsidR="002C3948" w:rsidRPr="001B30BC" w:rsidRDefault="002C3948" w:rsidP="001B30BC">
      <w:pPr>
        <w:pBdr>
          <w:top w:val="single" w:sz="4" w:space="1" w:color="C90081" w:themeColor="accent3"/>
          <w:left w:val="single" w:sz="4" w:space="4" w:color="C90081" w:themeColor="accent3"/>
          <w:bottom w:val="single" w:sz="4" w:space="1" w:color="C90081" w:themeColor="accent3"/>
          <w:right w:val="single" w:sz="4" w:space="4" w:color="C90081" w:themeColor="accent3"/>
        </w:pBdr>
        <w:jc w:val="center"/>
        <w:rPr>
          <w:color w:val="C90081" w:themeColor="accent3"/>
          <w:szCs w:val="20"/>
        </w:rPr>
      </w:pPr>
      <w:r w:rsidRPr="001B30BC">
        <w:rPr>
          <w:color w:val="C90081" w:themeColor="accent3"/>
          <w:szCs w:val="20"/>
        </w:rPr>
        <w:t>Fiche pratique Domiciliation :</w:t>
      </w:r>
    </w:p>
    <w:p w:rsidR="002C3948" w:rsidRPr="001B30BC" w:rsidRDefault="002C3948" w:rsidP="001B30BC">
      <w:pPr>
        <w:pBdr>
          <w:top w:val="single" w:sz="4" w:space="1" w:color="C90081" w:themeColor="accent3"/>
          <w:left w:val="single" w:sz="4" w:space="4" w:color="C90081" w:themeColor="accent3"/>
          <w:bottom w:val="single" w:sz="4" w:space="1" w:color="C90081" w:themeColor="accent3"/>
          <w:right w:val="single" w:sz="4" w:space="4" w:color="C90081" w:themeColor="accent3"/>
        </w:pBdr>
        <w:jc w:val="center"/>
        <w:rPr>
          <w:b/>
          <w:color w:val="C90081" w:themeColor="accent3"/>
          <w:szCs w:val="20"/>
        </w:rPr>
      </w:pPr>
      <w:r w:rsidRPr="001B30BC">
        <w:rPr>
          <w:b/>
          <w:color w:val="C90081" w:themeColor="accent3"/>
          <w:szCs w:val="20"/>
        </w:rPr>
        <w:t>La transmission d'informations à un tiers</w:t>
      </w:r>
    </w:p>
    <w:p w:rsidR="007B3BB3" w:rsidRDefault="007B3BB3" w:rsidP="001B30BC">
      <w:pPr>
        <w:jc w:val="both"/>
        <w:rPr>
          <w:b/>
          <w:color w:val="C90081" w:themeColor="accent3"/>
          <w:szCs w:val="20"/>
        </w:rPr>
      </w:pPr>
    </w:p>
    <w:p w:rsidR="007B3BB3" w:rsidRDefault="007B3BB3" w:rsidP="001B30BC">
      <w:pPr>
        <w:jc w:val="both"/>
        <w:rPr>
          <w:b/>
          <w:color w:val="C90081" w:themeColor="accent3"/>
          <w:szCs w:val="20"/>
        </w:rPr>
      </w:pPr>
    </w:p>
    <w:p w:rsidR="002C3948" w:rsidRPr="001B30BC" w:rsidRDefault="002C3948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bCs/>
          <w:color w:val="C90081" w:themeColor="accent3"/>
          <w:szCs w:val="20"/>
        </w:rPr>
      </w:pPr>
    </w:p>
    <w:p w:rsidR="00243649" w:rsidRPr="001B30BC" w:rsidRDefault="0024364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bCs/>
          <w:color w:val="C90081" w:themeColor="accent3"/>
          <w:szCs w:val="20"/>
        </w:rPr>
      </w:pP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>LA TRANSMISSION D'INFORMATIONS AUX ORGANISMES PAYEURS DE PRESTATION</w:t>
      </w:r>
      <w:r w:rsidR="00773E1C">
        <w:rPr>
          <w:rFonts w:ascii="Arial" w:eastAsiaTheme="minorHAnsi" w:hAnsi="Arial" w:cs="Arial"/>
          <w:b/>
          <w:bCs/>
          <w:color w:val="C90081" w:themeColor="accent3"/>
          <w:szCs w:val="20"/>
        </w:rPr>
        <w:t>S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 SOCIALE</w:t>
      </w:r>
      <w:r w:rsidR="00773E1C">
        <w:rPr>
          <w:rFonts w:ascii="Arial" w:eastAsiaTheme="minorHAnsi" w:hAnsi="Arial" w:cs="Arial"/>
          <w:b/>
          <w:bCs/>
          <w:color w:val="C90081" w:themeColor="accent3"/>
          <w:szCs w:val="20"/>
        </w:rPr>
        <w:t>S</w:t>
      </w:r>
    </w:p>
    <w:p w:rsidR="00243649" w:rsidRPr="001B30BC" w:rsidRDefault="0024364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bCs/>
          <w:color w:val="C90081" w:themeColor="accent3"/>
          <w:szCs w:val="20"/>
        </w:rPr>
      </w:pPr>
    </w:p>
    <w:p w:rsidR="002C3948" w:rsidRPr="001B30BC" w:rsidRDefault="00281B10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bCs/>
          <w:color w:val="C90081" w:themeColor="accent3"/>
          <w:szCs w:val="20"/>
        </w:rPr>
      </w:pP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>Quelles sont les règles en matière de</w:t>
      </w:r>
      <w:r w:rsidR="002C3948"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 transmission d’informations aux organismes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 payeurs </w:t>
      </w:r>
      <w:r w:rsidR="002C3948"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de 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>prestation</w:t>
      </w:r>
      <w:r w:rsidR="00773E1C">
        <w:rPr>
          <w:rFonts w:ascii="Arial" w:eastAsiaTheme="minorHAnsi" w:hAnsi="Arial" w:cs="Arial"/>
          <w:b/>
          <w:bCs/>
          <w:color w:val="C90081" w:themeColor="accent3"/>
          <w:szCs w:val="20"/>
        </w:rPr>
        <w:t>s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 sociale</w:t>
      </w:r>
      <w:r w:rsidR="00773E1C">
        <w:rPr>
          <w:rFonts w:ascii="Arial" w:eastAsiaTheme="minorHAnsi" w:hAnsi="Arial" w:cs="Arial"/>
          <w:b/>
          <w:bCs/>
          <w:color w:val="C90081" w:themeColor="accent3"/>
          <w:szCs w:val="20"/>
        </w:rPr>
        <w:t>s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 ?</w:t>
      </w:r>
    </w:p>
    <w:p w:rsidR="002C3948" w:rsidRPr="001B30BC" w:rsidRDefault="002C3948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bCs/>
          <w:szCs w:val="20"/>
        </w:rPr>
      </w:pPr>
    </w:p>
    <w:p w:rsidR="00281B10" w:rsidRPr="001B30BC" w:rsidRDefault="002C3948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  <w:r w:rsidRPr="001B30BC">
        <w:rPr>
          <w:rFonts w:ascii="Arial" w:eastAsiaTheme="minorHAnsi" w:hAnsi="Arial" w:cs="Arial"/>
          <w:szCs w:val="20"/>
        </w:rPr>
        <w:t xml:space="preserve">Conformément à </w:t>
      </w:r>
      <w:hyperlink r:id="rId6" w:history="1">
        <w:r w:rsidRPr="001B30BC">
          <w:rPr>
            <w:rStyle w:val="Lienhypertexte"/>
            <w:rFonts w:ascii="Arial" w:eastAsiaTheme="minorHAnsi" w:hAnsi="Arial" w:cs="Arial"/>
            <w:szCs w:val="20"/>
          </w:rPr>
          <w:t>l’article D. 264-7</w:t>
        </w:r>
      </w:hyperlink>
      <w:r w:rsidRPr="001B30BC">
        <w:rPr>
          <w:rFonts w:ascii="Arial" w:eastAsiaTheme="minorHAnsi" w:hAnsi="Arial" w:cs="Arial"/>
          <w:szCs w:val="20"/>
        </w:rPr>
        <w:t xml:space="preserve"> du code de l’action sociale et des familles, </w:t>
      </w:r>
      <w:r w:rsidRPr="001B30BC">
        <w:rPr>
          <w:rFonts w:ascii="Arial" w:eastAsiaTheme="minorHAnsi" w:hAnsi="Arial" w:cs="Arial"/>
          <w:b/>
          <w:szCs w:val="20"/>
        </w:rPr>
        <w:t xml:space="preserve">les </w:t>
      </w:r>
      <w:r w:rsidR="00281B10" w:rsidRPr="001B30BC">
        <w:rPr>
          <w:rFonts w:ascii="Arial" w:eastAsiaTheme="minorHAnsi" w:hAnsi="Arial" w:cs="Arial"/>
          <w:b/>
          <w:szCs w:val="20"/>
        </w:rPr>
        <w:t xml:space="preserve">CCAS sont </w:t>
      </w:r>
      <w:r w:rsidRPr="001B30BC">
        <w:rPr>
          <w:rFonts w:ascii="Arial" w:eastAsiaTheme="minorHAnsi" w:hAnsi="Arial" w:cs="Arial"/>
          <w:b/>
          <w:szCs w:val="20"/>
        </w:rPr>
        <w:t>tenus d’indiquer, à la demande d’un organisme payeur de prestations</w:t>
      </w:r>
      <w:r w:rsidR="00281B10" w:rsidRPr="001B30BC">
        <w:rPr>
          <w:rFonts w:ascii="Arial" w:eastAsiaTheme="minorHAnsi" w:hAnsi="Arial" w:cs="Arial"/>
          <w:b/>
          <w:szCs w:val="20"/>
        </w:rPr>
        <w:t xml:space="preserve"> </w:t>
      </w:r>
      <w:r w:rsidRPr="001B30BC">
        <w:rPr>
          <w:rFonts w:ascii="Arial" w:eastAsiaTheme="minorHAnsi" w:hAnsi="Arial" w:cs="Arial"/>
          <w:b/>
          <w:szCs w:val="20"/>
        </w:rPr>
        <w:t xml:space="preserve">sociales, et dans un délai d’un mois, si une personne est domiciliée ou non par eux. </w:t>
      </w:r>
      <w:r w:rsidR="00281B10" w:rsidRPr="001B30BC">
        <w:rPr>
          <w:rFonts w:ascii="Arial" w:eastAsiaTheme="minorHAnsi" w:hAnsi="Arial" w:cs="Arial"/>
          <w:szCs w:val="20"/>
        </w:rPr>
        <w:t>En revanche, ils ne sont pas tenus de communiquer d’autres informations sur les personnes qu’ils domicilient.</w:t>
      </w:r>
    </w:p>
    <w:p w:rsidR="00281B10" w:rsidRPr="001B30BC" w:rsidRDefault="00281B10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</w:p>
    <w:p w:rsidR="002C3948" w:rsidRPr="001B30BC" w:rsidRDefault="002C3948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  <w:r w:rsidRPr="001B30BC">
        <w:rPr>
          <w:rFonts w:ascii="Arial" w:eastAsiaTheme="minorHAnsi" w:hAnsi="Arial" w:cs="Arial"/>
          <w:szCs w:val="20"/>
        </w:rPr>
        <w:t>Cette</w:t>
      </w:r>
      <w:r w:rsidR="00281B10" w:rsidRPr="001B30BC">
        <w:rPr>
          <w:rFonts w:ascii="Arial" w:eastAsiaTheme="minorHAnsi" w:hAnsi="Arial" w:cs="Arial"/>
          <w:szCs w:val="20"/>
        </w:rPr>
        <w:t xml:space="preserve"> </w:t>
      </w:r>
      <w:r w:rsidRPr="001B30BC">
        <w:rPr>
          <w:rFonts w:ascii="Arial" w:eastAsiaTheme="minorHAnsi" w:hAnsi="Arial" w:cs="Arial"/>
          <w:szCs w:val="20"/>
        </w:rPr>
        <w:t>procédure s’inscrit dans le cadre de la mission de contrôle des organismes payeurs des</w:t>
      </w:r>
      <w:r w:rsidR="00281B10" w:rsidRPr="001B30BC">
        <w:rPr>
          <w:rFonts w:ascii="Arial" w:eastAsiaTheme="minorHAnsi" w:hAnsi="Arial" w:cs="Arial"/>
          <w:szCs w:val="20"/>
        </w:rPr>
        <w:t xml:space="preserve"> </w:t>
      </w:r>
      <w:r w:rsidRPr="001B30BC">
        <w:rPr>
          <w:rFonts w:ascii="Arial" w:eastAsiaTheme="minorHAnsi" w:hAnsi="Arial" w:cs="Arial"/>
          <w:szCs w:val="20"/>
        </w:rPr>
        <w:t>prestations sociales.</w:t>
      </w:r>
    </w:p>
    <w:p w:rsidR="00243649" w:rsidRPr="001B30BC" w:rsidRDefault="0024364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</w:p>
    <w:p w:rsidR="00243649" w:rsidRPr="001B30BC" w:rsidRDefault="001B30B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  <w:szCs w:val="20"/>
        </w:rPr>
      </w:pPr>
      <w:r w:rsidRPr="001B30BC">
        <w:rPr>
          <w:rFonts w:ascii="Arial" w:eastAsiaTheme="minorHAnsi" w:hAnsi="Arial" w:cs="Arial"/>
          <w:b/>
          <w:color w:val="C90081" w:themeColor="accent3"/>
          <w:szCs w:val="20"/>
        </w:rPr>
        <w:t>Est-ce que le CCAS doit</w:t>
      </w:r>
      <w:r w:rsidR="00773E1C">
        <w:rPr>
          <w:rFonts w:ascii="Arial" w:eastAsiaTheme="minorHAnsi" w:hAnsi="Arial" w:cs="Arial"/>
          <w:b/>
          <w:color w:val="C90081" w:themeColor="accent3"/>
          <w:szCs w:val="20"/>
        </w:rPr>
        <w:t xml:space="preserve"> leur</w:t>
      </w:r>
      <w:r w:rsidRPr="001B30BC">
        <w:rPr>
          <w:rFonts w:ascii="Arial" w:eastAsiaTheme="minorHAnsi" w:hAnsi="Arial" w:cs="Arial"/>
          <w:b/>
          <w:color w:val="C90081" w:themeColor="accent3"/>
          <w:szCs w:val="20"/>
        </w:rPr>
        <w:t xml:space="preserve"> fournir une liste des personnes domiciliées ou radiées ?</w:t>
      </w:r>
    </w:p>
    <w:p w:rsidR="001B30BC" w:rsidRPr="001B30BC" w:rsidRDefault="001B30B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</w:p>
    <w:p w:rsidR="001B30BC" w:rsidRPr="001B30BC" w:rsidRDefault="001B30BC" w:rsidP="001B30BC">
      <w:pPr>
        <w:jc w:val="both"/>
        <w:rPr>
          <w:rFonts w:ascii="Arial" w:hAnsi="Arial" w:cs="Arial"/>
          <w:szCs w:val="20"/>
        </w:rPr>
      </w:pPr>
      <w:r w:rsidRPr="001B30BC">
        <w:rPr>
          <w:rFonts w:ascii="Arial" w:hAnsi="Arial" w:cs="Arial"/>
          <w:szCs w:val="20"/>
        </w:rPr>
        <w:t>Les CCAS n'ont pas à transmettre à qui que ce soit une liste des personnes domiciliées ou les attestations d'élection de domicile, de résiliation et de radiation.</w:t>
      </w:r>
    </w:p>
    <w:p w:rsidR="001B30BC" w:rsidRDefault="001B30B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</w:p>
    <w:p w:rsidR="00773E1C" w:rsidRDefault="00773E1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  <w:szCs w:val="20"/>
        </w:rPr>
      </w:pPr>
      <w:r w:rsidRPr="00A872A0">
        <w:rPr>
          <w:rFonts w:ascii="Arial" w:eastAsiaTheme="minorHAnsi" w:hAnsi="Arial" w:cs="Arial"/>
          <w:b/>
          <w:color w:val="C90081" w:themeColor="accent3"/>
          <w:szCs w:val="20"/>
        </w:rPr>
        <w:t>En cas de radiation, qui doit prévenir les organismes payeurs de prestations sociales</w:t>
      </w:r>
      <w:r w:rsidR="0077150A">
        <w:rPr>
          <w:rFonts w:ascii="Arial" w:eastAsiaTheme="minorHAnsi" w:hAnsi="Arial" w:cs="Arial"/>
          <w:b/>
          <w:color w:val="C90081" w:themeColor="accent3"/>
          <w:szCs w:val="20"/>
        </w:rPr>
        <w:t xml:space="preserve"> du changement d’adresse</w:t>
      </w:r>
      <w:r w:rsidRPr="00A872A0">
        <w:rPr>
          <w:rFonts w:ascii="Arial" w:eastAsiaTheme="minorHAnsi" w:hAnsi="Arial" w:cs="Arial"/>
          <w:b/>
          <w:color w:val="C90081" w:themeColor="accent3"/>
          <w:szCs w:val="20"/>
        </w:rPr>
        <w:t> ?</w:t>
      </w:r>
    </w:p>
    <w:p w:rsidR="00773E1C" w:rsidRDefault="00773E1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  <w:szCs w:val="20"/>
        </w:rPr>
      </w:pPr>
    </w:p>
    <w:p w:rsidR="0077150A" w:rsidRDefault="00773E1C" w:rsidP="001B30BC">
      <w:pPr>
        <w:autoSpaceDE w:val="0"/>
        <w:autoSpaceDN w:val="0"/>
        <w:adjustRightInd w:val="0"/>
        <w:spacing w:line="240" w:lineRule="auto"/>
        <w:jc w:val="both"/>
      </w:pPr>
      <w:r>
        <w:rPr>
          <w:b/>
          <w:bCs/>
        </w:rPr>
        <w:t>Le</w:t>
      </w:r>
      <w:r w:rsidRPr="00773E1C">
        <w:rPr>
          <w:b/>
          <w:bCs/>
        </w:rPr>
        <w:t xml:space="preserve"> CCAS ne doit prévenir aucun organisme en cas de radiation.</w:t>
      </w:r>
      <w:r w:rsidRPr="00773E1C">
        <w:t xml:space="preserve"> </w:t>
      </w:r>
      <w:r w:rsidR="0077150A">
        <w:t xml:space="preserve">Il ne peut le faire qu’à la demande de la personne concernée. </w:t>
      </w:r>
    </w:p>
    <w:p w:rsidR="0077150A" w:rsidRDefault="0077150A" w:rsidP="001B30BC">
      <w:pPr>
        <w:autoSpaceDE w:val="0"/>
        <w:autoSpaceDN w:val="0"/>
        <w:adjustRightInd w:val="0"/>
        <w:spacing w:line="240" w:lineRule="auto"/>
        <w:jc w:val="both"/>
      </w:pPr>
    </w:p>
    <w:p w:rsidR="00773E1C" w:rsidRDefault="00773E1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  <w:szCs w:val="20"/>
        </w:rPr>
      </w:pPr>
      <w:r w:rsidRPr="00773E1C">
        <w:t>C’est</w:t>
      </w:r>
      <w:r w:rsidR="0077150A">
        <w:t xml:space="preserve"> normalement</w:t>
      </w:r>
      <w:r w:rsidRPr="00773E1C">
        <w:t xml:space="preserve"> à la personne </w:t>
      </w:r>
      <w:r>
        <w:t xml:space="preserve">concernée </w:t>
      </w:r>
      <w:r w:rsidRPr="00773E1C">
        <w:t xml:space="preserve">de réaliser </w:t>
      </w:r>
      <w:r>
        <w:t>les</w:t>
      </w:r>
      <w:r w:rsidRPr="00773E1C">
        <w:t xml:space="preserve"> démarches</w:t>
      </w:r>
      <w:r>
        <w:t xml:space="preserve"> de changement d’adresse et notamment d’informer les organismes sociaux</w:t>
      </w:r>
      <w:r w:rsidRPr="00773E1C">
        <w:t xml:space="preserve">. </w:t>
      </w:r>
      <w:r>
        <w:t>Il est donc important</w:t>
      </w:r>
      <w:r w:rsidRPr="00773E1C">
        <w:t xml:space="preserve"> en cas de radiation </w:t>
      </w:r>
      <w:r w:rsidR="0077150A">
        <w:t>de</w:t>
      </w:r>
      <w:r w:rsidRPr="00773E1C">
        <w:t xml:space="preserve"> rappeler</w:t>
      </w:r>
      <w:r w:rsidR="0077150A">
        <w:t xml:space="preserve"> à la personne</w:t>
      </w:r>
      <w:r w:rsidRPr="00773E1C">
        <w:t xml:space="preserve"> l’importance de prévenir les différents organismes de son changement d’adresse et des risques de rupture de droit qu’elle encoure si elle ne le fait pas.</w:t>
      </w:r>
    </w:p>
    <w:p w:rsidR="00773E1C" w:rsidRPr="00A872A0" w:rsidRDefault="00773E1C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color w:val="C90081" w:themeColor="accent3"/>
          <w:szCs w:val="20"/>
        </w:rPr>
      </w:pPr>
    </w:p>
    <w:p w:rsidR="00281B10" w:rsidRPr="001B30BC" w:rsidRDefault="00281B10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szCs w:val="20"/>
        </w:rPr>
      </w:pPr>
    </w:p>
    <w:p w:rsidR="00243649" w:rsidRPr="001B30BC" w:rsidRDefault="0024364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eastAsiaTheme="minorHAnsi" w:hAnsi="Arial" w:cs="Arial"/>
          <w:b/>
          <w:bCs/>
          <w:color w:val="C90081" w:themeColor="accent3"/>
          <w:szCs w:val="20"/>
        </w:rPr>
      </w:pP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>LA TRANSMI</w:t>
      </w:r>
      <w:r w:rsidR="00406539"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>SSION D'INFORMATIONS A D'AUTRES TIERS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color w:val="C90081" w:themeColor="accent3"/>
          <w:szCs w:val="20"/>
        </w:rPr>
      </w:pPr>
      <w:r w:rsidRPr="001B30BC">
        <w:rPr>
          <w:rFonts w:asciiTheme="majorHAnsi" w:eastAsiaTheme="minorHAnsi" w:hAnsiTheme="majorHAnsi" w:cstheme="majorHAnsi"/>
          <w:b/>
          <w:color w:val="C90081" w:themeColor="accent3"/>
          <w:szCs w:val="20"/>
        </w:rPr>
        <w:t>Dans quels cas, les CCAS/CIAS peuvent-ils communiquer des informations à un tiers sur les personnes domiciliées ?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406539" w:rsidRPr="001B30BC" w:rsidRDefault="002D72C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  <w:r w:rsidRPr="001B30BC">
        <w:rPr>
          <w:rFonts w:asciiTheme="majorHAnsi" w:eastAsiaTheme="minorHAnsi" w:hAnsiTheme="majorHAnsi" w:cstheme="majorHAnsi"/>
          <w:szCs w:val="20"/>
        </w:rPr>
        <w:t xml:space="preserve">Les données traitées par les CCAS dans le cadre de la gestion du dispositif de domiciliation sont bien entendu </w:t>
      </w:r>
      <w:r w:rsidRPr="00A872A0">
        <w:rPr>
          <w:rFonts w:asciiTheme="majorHAnsi" w:eastAsiaTheme="minorHAnsi" w:hAnsiTheme="majorHAnsi" w:cstheme="majorHAnsi"/>
          <w:b/>
          <w:szCs w:val="20"/>
        </w:rPr>
        <w:t xml:space="preserve">couvertes par le </w:t>
      </w:r>
      <w:hyperlink r:id="rId7" w:anchor=".V_OEOcn_2BM" w:history="1">
        <w:r w:rsidRPr="00A872A0">
          <w:rPr>
            <w:rStyle w:val="Lienhypertexte"/>
            <w:rFonts w:asciiTheme="majorHAnsi" w:eastAsiaTheme="minorHAnsi" w:hAnsiTheme="majorHAnsi" w:cstheme="majorHAnsi"/>
            <w:b/>
            <w:szCs w:val="20"/>
          </w:rPr>
          <w:t>secret professionnel</w:t>
        </w:r>
      </w:hyperlink>
      <w:r w:rsidRPr="001B30BC">
        <w:rPr>
          <w:rFonts w:asciiTheme="majorHAnsi" w:eastAsiaTheme="minorHAnsi" w:hAnsiTheme="majorHAnsi" w:cstheme="majorHAnsi"/>
          <w:szCs w:val="20"/>
        </w:rPr>
        <w:t xml:space="preserve"> et ne peuvent donc être divulguées. </w:t>
      </w:r>
      <w:r w:rsidR="00406539" w:rsidRPr="001B30BC">
        <w:rPr>
          <w:rFonts w:asciiTheme="majorHAnsi" w:eastAsiaTheme="minorHAnsi" w:hAnsiTheme="majorHAnsi" w:cstheme="majorHAnsi"/>
          <w:szCs w:val="20"/>
        </w:rPr>
        <w:t xml:space="preserve">Les </w:t>
      </w:r>
      <w:r w:rsidR="00B445CD" w:rsidRPr="001B30BC">
        <w:rPr>
          <w:rFonts w:asciiTheme="majorHAnsi" w:eastAsiaTheme="minorHAnsi" w:hAnsiTheme="majorHAnsi" w:cstheme="majorHAnsi"/>
          <w:szCs w:val="20"/>
        </w:rPr>
        <w:t xml:space="preserve">CCAS </w:t>
      </w:r>
      <w:r w:rsidR="00406539" w:rsidRPr="001B30BC">
        <w:rPr>
          <w:rFonts w:asciiTheme="majorHAnsi" w:eastAsiaTheme="minorHAnsi" w:hAnsiTheme="majorHAnsi" w:cstheme="majorHAnsi"/>
          <w:szCs w:val="20"/>
        </w:rPr>
        <w:t>ne peuvent</w:t>
      </w:r>
      <w:r w:rsidR="00B445CD" w:rsidRPr="001B30BC">
        <w:rPr>
          <w:rFonts w:asciiTheme="majorHAnsi" w:eastAsiaTheme="minorHAnsi" w:hAnsiTheme="majorHAnsi" w:cstheme="majorHAnsi"/>
          <w:szCs w:val="20"/>
        </w:rPr>
        <w:t xml:space="preserve"> </w:t>
      </w:r>
      <w:r w:rsidR="00406539" w:rsidRPr="001B30BC">
        <w:rPr>
          <w:rFonts w:asciiTheme="majorHAnsi" w:eastAsiaTheme="minorHAnsi" w:hAnsiTheme="majorHAnsi" w:cstheme="majorHAnsi"/>
          <w:szCs w:val="20"/>
        </w:rPr>
        <w:t>communiquer des renseignements sur les personnes domiciliées à des tiers que dans des cas précis prévus par la loi.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B445CD" w:rsidRPr="001B30BC" w:rsidRDefault="00B445CD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  <w:r w:rsidRPr="001B30BC">
        <w:rPr>
          <w:rFonts w:asciiTheme="majorHAnsi" w:eastAsiaTheme="minorHAnsi" w:hAnsiTheme="majorHAnsi" w:cstheme="majorHAnsi"/>
          <w:szCs w:val="20"/>
        </w:rPr>
        <w:t xml:space="preserve">Lorsqu'un CCAS est confronté à une demande de communication d'informations personnelles, il </w:t>
      </w:r>
      <w:r w:rsidRPr="001B30BC">
        <w:rPr>
          <w:rFonts w:asciiTheme="majorHAnsi" w:eastAsiaTheme="minorHAnsi" w:hAnsiTheme="majorHAnsi" w:cstheme="majorHAnsi"/>
          <w:b/>
          <w:szCs w:val="20"/>
        </w:rPr>
        <w:t>doit donc vérifier, en premier lieu si la demande provient d'un "tiers autorisé"</w:t>
      </w:r>
      <w:r w:rsidRPr="001B30BC">
        <w:rPr>
          <w:rFonts w:asciiTheme="majorHAnsi" w:eastAsiaTheme="minorHAnsi" w:hAnsiTheme="majorHAnsi" w:cstheme="majorHAnsi"/>
          <w:szCs w:val="20"/>
        </w:rPr>
        <w:t>, c'est-à-dire si une disposition législative ou réglementaire permet cette communication.</w:t>
      </w:r>
    </w:p>
    <w:p w:rsidR="00B445CD" w:rsidRPr="001B30BC" w:rsidRDefault="00B445CD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B445CD" w:rsidRPr="001B30BC" w:rsidRDefault="00B445CD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  <w:r w:rsidRPr="001B30BC">
        <w:rPr>
          <w:rFonts w:asciiTheme="majorHAnsi" w:eastAsiaTheme="minorHAnsi" w:hAnsiTheme="majorHAnsi" w:cstheme="majorHAnsi"/>
          <w:szCs w:val="20"/>
        </w:rPr>
        <w:t xml:space="preserve">S'il n'est pas possible de fournir une liste exhaustive des tiers pouvant être légalement autorisés à obtenir communication d'informations, la CNIL propose une </w:t>
      </w:r>
      <w:hyperlink r:id="rId8" w:history="1">
        <w:r w:rsidRPr="001B30BC">
          <w:rPr>
            <w:rStyle w:val="Lienhypertexte"/>
            <w:rFonts w:asciiTheme="majorHAnsi" w:eastAsiaTheme="minorHAnsi" w:hAnsiTheme="majorHAnsi" w:cstheme="majorHAnsi"/>
            <w:szCs w:val="20"/>
          </w:rPr>
          <w:t xml:space="preserve">liste </w:t>
        </w:r>
        <w:r w:rsidR="0077150A">
          <w:rPr>
            <w:rStyle w:val="Lienhypertexte"/>
            <w:rFonts w:asciiTheme="majorHAnsi" w:eastAsiaTheme="minorHAnsi" w:hAnsiTheme="majorHAnsi" w:cstheme="majorHAnsi"/>
            <w:szCs w:val="20"/>
          </w:rPr>
          <w:t xml:space="preserve">indicative </w:t>
        </w:r>
        <w:r w:rsidRPr="001B30BC">
          <w:rPr>
            <w:rStyle w:val="Lienhypertexte"/>
            <w:rFonts w:asciiTheme="majorHAnsi" w:eastAsiaTheme="minorHAnsi" w:hAnsiTheme="majorHAnsi" w:cstheme="majorHAnsi"/>
            <w:szCs w:val="20"/>
          </w:rPr>
          <w:t>de tiers autorisés</w:t>
        </w:r>
      </w:hyperlink>
      <w:r w:rsidR="001B30BC" w:rsidRPr="001B30BC">
        <w:rPr>
          <w:rFonts w:asciiTheme="majorHAnsi" w:eastAsiaTheme="minorHAnsi" w:hAnsiTheme="majorHAnsi" w:cstheme="majorHAnsi"/>
          <w:szCs w:val="20"/>
        </w:rPr>
        <w:t xml:space="preserve"> sur son site</w:t>
      </w:r>
      <w:r w:rsidRPr="001B30BC">
        <w:rPr>
          <w:rFonts w:asciiTheme="majorHAnsi" w:eastAsiaTheme="minorHAnsi" w:hAnsiTheme="majorHAnsi" w:cstheme="majorHAnsi"/>
          <w:szCs w:val="20"/>
        </w:rPr>
        <w:t>.</w:t>
      </w:r>
    </w:p>
    <w:p w:rsidR="00B445CD" w:rsidRPr="001B30BC" w:rsidRDefault="00B445CD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1B30BC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Cs w:val="20"/>
        </w:rPr>
      </w:pPr>
      <w:r w:rsidRPr="001B30BC">
        <w:rPr>
          <w:rFonts w:ascii="Arial" w:hAnsi="Arial" w:cs="Arial"/>
          <w:b/>
          <w:szCs w:val="20"/>
        </w:rPr>
        <w:t xml:space="preserve">Si aucune disposition contraignante ne s’applique, la transmission d’information ne pourra se faire qu’avec l’accord de l’intéressé. 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szCs w:val="20"/>
        </w:rPr>
      </w:pPr>
      <w:r w:rsidRPr="001B30BC">
        <w:rPr>
          <w:rFonts w:ascii="Arial" w:hAnsi="Arial" w:cs="Arial"/>
          <w:b/>
          <w:szCs w:val="20"/>
        </w:rPr>
        <w:br/>
        <w:t> 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Quelles sont les règles encadrant la demande d'information </w:t>
      </w:r>
      <w:r w:rsidR="00B445CD"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 xml:space="preserve">des "tiers autorisés" </w:t>
      </w:r>
      <w:r w:rsidRPr="001B30BC">
        <w:rPr>
          <w:rFonts w:ascii="Arial" w:eastAsiaTheme="minorHAnsi" w:hAnsi="Arial" w:cs="Arial"/>
          <w:b/>
          <w:bCs/>
          <w:color w:val="C90081" w:themeColor="accent3"/>
          <w:szCs w:val="20"/>
        </w:rPr>
        <w:t>?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406539" w:rsidRPr="001B30BC" w:rsidRDefault="0077150A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  <w:r>
        <w:rPr>
          <w:rFonts w:asciiTheme="majorHAnsi" w:eastAsiaTheme="minorHAnsi" w:hAnsiTheme="majorHAnsi" w:cstheme="majorHAnsi"/>
          <w:szCs w:val="20"/>
        </w:rPr>
        <w:t>Quel que</w:t>
      </w:r>
      <w:r w:rsidR="001B30BC" w:rsidRPr="001B30BC">
        <w:rPr>
          <w:rFonts w:asciiTheme="majorHAnsi" w:eastAsiaTheme="minorHAnsi" w:hAnsiTheme="majorHAnsi" w:cstheme="majorHAnsi"/>
          <w:szCs w:val="20"/>
        </w:rPr>
        <w:t xml:space="preserve"> soit le tiers, les</w:t>
      </w:r>
      <w:r w:rsidR="00406539" w:rsidRPr="001B30BC">
        <w:rPr>
          <w:rFonts w:asciiTheme="majorHAnsi" w:eastAsiaTheme="minorHAnsi" w:hAnsiTheme="majorHAnsi" w:cstheme="majorHAnsi"/>
          <w:szCs w:val="20"/>
        </w:rPr>
        <w:t xml:space="preserve"> demandes d'information nominatives adressées aux CCAS doivent respecter les recommandations de la CNIL :</w:t>
      </w:r>
    </w:p>
    <w:p w:rsidR="00406539" w:rsidRPr="001B30BC" w:rsidRDefault="00406539" w:rsidP="001B30B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Cs w:val="20"/>
        </w:rPr>
      </w:pPr>
      <w:proofErr w:type="gramStart"/>
      <w:r w:rsidRPr="001B30BC">
        <w:rPr>
          <w:rFonts w:asciiTheme="majorHAnsi" w:hAnsiTheme="majorHAnsi" w:cstheme="majorHAnsi"/>
          <w:szCs w:val="20"/>
        </w:rPr>
        <w:t>la</w:t>
      </w:r>
      <w:proofErr w:type="gramEnd"/>
      <w:r w:rsidRPr="001B30BC">
        <w:rPr>
          <w:rFonts w:asciiTheme="majorHAnsi" w:hAnsiTheme="majorHAnsi" w:cstheme="majorHAnsi"/>
          <w:szCs w:val="20"/>
        </w:rPr>
        <w:t xml:space="preserve"> demande de communication doit être </w:t>
      </w:r>
      <w:r w:rsidRPr="00284D5A">
        <w:rPr>
          <w:rFonts w:asciiTheme="majorHAnsi" w:hAnsiTheme="majorHAnsi" w:cstheme="majorHAnsi"/>
          <w:b/>
          <w:szCs w:val="20"/>
        </w:rPr>
        <w:t xml:space="preserve">écrite et motivée et préciser le texte législatif fondant ce droit de communication </w:t>
      </w:r>
      <w:r w:rsidRPr="001B30BC">
        <w:rPr>
          <w:rFonts w:asciiTheme="majorHAnsi" w:hAnsiTheme="majorHAnsi" w:cstheme="majorHAnsi"/>
          <w:szCs w:val="20"/>
        </w:rPr>
        <w:t>;</w:t>
      </w:r>
    </w:p>
    <w:p w:rsidR="00406539" w:rsidRPr="001B30BC" w:rsidRDefault="00406539" w:rsidP="001B30B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Cs w:val="20"/>
        </w:rPr>
      </w:pPr>
      <w:r w:rsidRPr="001B30BC">
        <w:rPr>
          <w:rFonts w:asciiTheme="majorHAnsi" w:hAnsiTheme="majorHAnsi" w:cstheme="majorHAnsi"/>
          <w:szCs w:val="20"/>
        </w:rPr>
        <w:t xml:space="preserve">la demande de communication doit viser des </w:t>
      </w:r>
      <w:r w:rsidRPr="00284D5A">
        <w:rPr>
          <w:rFonts w:asciiTheme="majorHAnsi" w:hAnsiTheme="majorHAnsi" w:cstheme="majorHAnsi"/>
          <w:b/>
          <w:szCs w:val="20"/>
        </w:rPr>
        <w:t>personnes nommément identifiées ou identifiables</w:t>
      </w:r>
      <w:r w:rsidRPr="001B30BC">
        <w:rPr>
          <w:rFonts w:asciiTheme="majorHAnsi" w:hAnsiTheme="majorHAnsi" w:cstheme="majorHAnsi"/>
          <w:szCs w:val="20"/>
        </w:rPr>
        <w:t>. Il est exclu qu'elle porte sur l'intégralité d'un fichier ;</w:t>
      </w:r>
    </w:p>
    <w:p w:rsidR="00406539" w:rsidRPr="001B30BC" w:rsidRDefault="00406539" w:rsidP="001B30B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Cs w:val="20"/>
        </w:rPr>
      </w:pPr>
      <w:r w:rsidRPr="001B30BC">
        <w:rPr>
          <w:rFonts w:asciiTheme="majorHAnsi" w:hAnsiTheme="majorHAnsi" w:cstheme="majorHAnsi"/>
          <w:szCs w:val="20"/>
        </w:rPr>
        <w:t xml:space="preserve">la demande doit être </w:t>
      </w:r>
      <w:r w:rsidRPr="00284D5A">
        <w:rPr>
          <w:rFonts w:asciiTheme="majorHAnsi" w:hAnsiTheme="majorHAnsi" w:cstheme="majorHAnsi"/>
          <w:b/>
          <w:szCs w:val="20"/>
        </w:rPr>
        <w:t>ponctuelle</w:t>
      </w:r>
      <w:r w:rsidRPr="001B30BC">
        <w:rPr>
          <w:rFonts w:asciiTheme="majorHAnsi" w:hAnsiTheme="majorHAnsi" w:cstheme="majorHAnsi"/>
          <w:szCs w:val="20"/>
        </w:rPr>
        <w:t xml:space="preserve"> ;</w:t>
      </w:r>
    </w:p>
    <w:p w:rsidR="00406539" w:rsidRPr="001B30BC" w:rsidRDefault="00406539" w:rsidP="001B30B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Theme="majorHAnsi" w:hAnsiTheme="majorHAnsi" w:cstheme="majorHAnsi"/>
          <w:szCs w:val="20"/>
        </w:rPr>
      </w:pPr>
      <w:r w:rsidRPr="001B30BC">
        <w:rPr>
          <w:rFonts w:asciiTheme="majorHAnsi" w:hAnsiTheme="majorHAnsi" w:cstheme="majorHAnsi"/>
          <w:szCs w:val="20"/>
        </w:rPr>
        <w:t xml:space="preserve">la demande doit </w:t>
      </w:r>
      <w:r w:rsidRPr="00284D5A">
        <w:rPr>
          <w:rFonts w:asciiTheme="majorHAnsi" w:hAnsiTheme="majorHAnsi" w:cstheme="majorHAnsi"/>
          <w:b/>
          <w:szCs w:val="20"/>
        </w:rPr>
        <w:t>préciser les catégories de données sollicitées</w:t>
      </w:r>
      <w:r w:rsidRPr="001B30BC">
        <w:rPr>
          <w:rFonts w:asciiTheme="majorHAnsi" w:hAnsiTheme="majorHAnsi" w:cstheme="majorHAnsi"/>
          <w:szCs w:val="20"/>
        </w:rPr>
        <w:t>.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p w:rsidR="002D72C9" w:rsidRPr="001B30BC" w:rsidRDefault="001B30BC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Cs/>
          <w:szCs w:val="20"/>
        </w:rPr>
      </w:pPr>
      <w:r>
        <w:rPr>
          <w:rFonts w:asciiTheme="majorHAnsi" w:eastAsiaTheme="minorHAnsi" w:hAnsiTheme="majorHAnsi" w:cstheme="majorHAnsi"/>
          <w:bCs/>
          <w:szCs w:val="20"/>
        </w:rPr>
        <w:t>Le CCAS saisi</w:t>
      </w:r>
      <w:r w:rsidR="00406539" w:rsidRPr="001B30BC">
        <w:rPr>
          <w:rFonts w:asciiTheme="majorHAnsi" w:eastAsiaTheme="minorHAnsi" w:hAnsiTheme="majorHAnsi" w:cstheme="majorHAnsi"/>
          <w:bCs/>
          <w:szCs w:val="20"/>
        </w:rPr>
        <w:t xml:space="preserve"> de la requête</w:t>
      </w:r>
      <w:r w:rsidR="002D72C9" w:rsidRPr="001B30BC">
        <w:rPr>
          <w:rFonts w:asciiTheme="majorHAnsi" w:eastAsiaTheme="minorHAnsi" w:hAnsiTheme="majorHAnsi" w:cstheme="majorHAnsi"/>
          <w:bCs/>
          <w:szCs w:val="20"/>
        </w:rPr>
        <w:t xml:space="preserve"> doit s'assurer de sa conformité aux textes invoqués et peut toujours, en cas de doute, interroger la CNIL. Il ne peut, par ailleurs, communiquer, aux autorités publiques habilitées à les demander, </w:t>
      </w:r>
      <w:r w:rsidR="002D72C9" w:rsidRPr="00A872A0">
        <w:rPr>
          <w:rFonts w:asciiTheme="majorHAnsi" w:eastAsiaTheme="minorHAnsi" w:hAnsiTheme="majorHAnsi" w:cstheme="majorHAnsi"/>
          <w:b/>
          <w:bCs/>
          <w:szCs w:val="20"/>
        </w:rPr>
        <w:t>que les informations dont elles disposent dans leurs fichiers, manuels ou informatisé</w:t>
      </w:r>
      <w:r w:rsidR="002D72C9" w:rsidRPr="001B30BC">
        <w:rPr>
          <w:rFonts w:asciiTheme="majorHAnsi" w:eastAsiaTheme="minorHAnsi" w:hAnsiTheme="majorHAnsi" w:cstheme="majorHAnsi"/>
          <w:bCs/>
          <w:szCs w:val="20"/>
        </w:rPr>
        <w:t xml:space="preserve">s : </w:t>
      </w:r>
      <w:r w:rsidR="0077150A">
        <w:rPr>
          <w:rFonts w:asciiTheme="majorHAnsi" w:eastAsiaTheme="minorHAnsi" w:hAnsiTheme="majorHAnsi" w:cstheme="majorHAnsi"/>
          <w:bCs/>
          <w:szCs w:val="20"/>
        </w:rPr>
        <w:t>il</w:t>
      </w:r>
      <w:r w:rsidR="0077150A" w:rsidRPr="001B30BC">
        <w:rPr>
          <w:rFonts w:asciiTheme="majorHAnsi" w:eastAsiaTheme="minorHAnsi" w:hAnsiTheme="majorHAnsi" w:cstheme="majorHAnsi"/>
          <w:bCs/>
          <w:szCs w:val="20"/>
        </w:rPr>
        <w:t xml:space="preserve"> </w:t>
      </w:r>
      <w:r w:rsidR="002D72C9" w:rsidRPr="001B30BC">
        <w:rPr>
          <w:rFonts w:asciiTheme="majorHAnsi" w:eastAsiaTheme="minorHAnsi" w:hAnsiTheme="majorHAnsi" w:cstheme="majorHAnsi"/>
          <w:bCs/>
          <w:szCs w:val="20"/>
        </w:rPr>
        <w:t xml:space="preserve">ne saurait, dans le simple but de satisfaire à une demande de renseignement, rechercher les informations </w:t>
      </w:r>
      <w:proofErr w:type="gramStart"/>
      <w:r w:rsidR="002D72C9" w:rsidRPr="001B30BC">
        <w:rPr>
          <w:rFonts w:asciiTheme="majorHAnsi" w:eastAsiaTheme="minorHAnsi" w:hAnsiTheme="majorHAnsi" w:cstheme="majorHAnsi"/>
          <w:bCs/>
          <w:szCs w:val="20"/>
        </w:rPr>
        <w:t xml:space="preserve">dont </w:t>
      </w:r>
      <w:r w:rsidR="0077150A">
        <w:rPr>
          <w:rFonts w:asciiTheme="majorHAnsi" w:eastAsiaTheme="minorHAnsi" w:hAnsiTheme="majorHAnsi" w:cstheme="majorHAnsi"/>
          <w:bCs/>
          <w:szCs w:val="20"/>
        </w:rPr>
        <w:t xml:space="preserve"> il</w:t>
      </w:r>
      <w:proofErr w:type="gramEnd"/>
      <w:r w:rsidR="002D72C9" w:rsidRPr="001B30BC">
        <w:rPr>
          <w:rFonts w:asciiTheme="majorHAnsi" w:eastAsiaTheme="minorHAnsi" w:hAnsiTheme="majorHAnsi" w:cstheme="majorHAnsi"/>
          <w:bCs/>
          <w:szCs w:val="20"/>
        </w:rPr>
        <w:t xml:space="preserve"> ne dispose pas ou constituer des services d’enquête à cette fin.</w:t>
      </w:r>
    </w:p>
    <w:p w:rsidR="002D72C9" w:rsidRPr="001B30BC" w:rsidRDefault="002D72C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Cs/>
          <w:szCs w:val="20"/>
        </w:rPr>
      </w:pP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p w:rsidR="00406539" w:rsidRPr="001B30BC" w:rsidRDefault="001B30BC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  <w:r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>Dans quel cas</w:t>
      </w:r>
      <w:r w:rsidR="00406539" w:rsidRP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 xml:space="preserve"> </w:t>
      </w:r>
      <w:r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 xml:space="preserve">un </w:t>
      </w:r>
      <w:r w:rsidR="00406539" w:rsidRP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>huissier peut</w:t>
      </w:r>
      <w:r w:rsidR="00284D5A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>-il</w:t>
      </w:r>
      <w:r w:rsidR="00406539" w:rsidRP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 xml:space="preserve"> demander des informations préci</w:t>
      </w:r>
      <w:r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>ses sur la personne domiciliée</w:t>
      </w:r>
      <w:r w:rsidR="00406539" w:rsidRP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 xml:space="preserve"> ?</w:t>
      </w:r>
    </w:p>
    <w:p w:rsidR="00406539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p w:rsidR="00B445CD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Cs w:val="20"/>
        </w:rPr>
      </w:pPr>
      <w:r w:rsidRPr="001B30BC">
        <w:rPr>
          <w:rFonts w:ascii="Arial" w:hAnsi="Arial" w:cs="Arial"/>
          <w:szCs w:val="20"/>
        </w:rPr>
        <w:t>Les huissiers de justice font parti des tiers autorisés à obtenir ponctuellement des données personnelles sur des personnes suivies par les CCAS. Ils doivent pour cela être munis d'un</w:t>
      </w:r>
      <w:r w:rsidRPr="001B30BC">
        <w:rPr>
          <w:rFonts w:ascii="Arial" w:hAnsi="Arial" w:cs="Arial"/>
          <w:b/>
          <w:bCs/>
          <w:szCs w:val="20"/>
        </w:rPr>
        <w:t xml:space="preserve"> titre exécutoire</w:t>
      </w:r>
      <w:r w:rsidRPr="001B30BC">
        <w:rPr>
          <w:rFonts w:ascii="Arial" w:hAnsi="Arial" w:cs="Arial"/>
          <w:szCs w:val="20"/>
        </w:rPr>
        <w:t xml:space="preserve"> pour obtenir l'adresse du débiteur, l'identité et l'adresse de son employeur ou de tout tiers débiteur ou dépositaire de sommes liquides ou exigibles et la composition de son patrimoine immobilier, à l'exclusion de tout autre renseignement </w:t>
      </w:r>
      <w:r w:rsidRPr="001B30BC">
        <w:rPr>
          <w:rFonts w:ascii="Arial" w:hAnsi="Arial" w:cs="Arial"/>
          <w:szCs w:val="20"/>
          <w:u w:val="single"/>
        </w:rPr>
        <w:t>(</w:t>
      </w:r>
      <w:hyperlink r:id="rId9" w:tgtFrame="_top" w:history="1">
        <w:r w:rsidRPr="001B30BC">
          <w:rPr>
            <w:rStyle w:val="Lienhypertexte"/>
            <w:rFonts w:ascii="Arial" w:hAnsi="Arial"/>
            <w:szCs w:val="20"/>
          </w:rPr>
          <w:t>article L152-1 du code des procédures civiles d'exécution</w:t>
        </w:r>
      </w:hyperlink>
      <w:r w:rsidRPr="001B30BC">
        <w:rPr>
          <w:rFonts w:ascii="Arial" w:hAnsi="Arial" w:cs="Arial"/>
          <w:szCs w:val="20"/>
        </w:rPr>
        <w:t xml:space="preserve">). La demande doit viser une personne précisément et doit s'adresser directement au CCAS. </w:t>
      </w:r>
      <w:r w:rsidRPr="001B30BC">
        <w:rPr>
          <w:rFonts w:ascii="Arial" w:hAnsi="Arial" w:cs="Arial"/>
          <w:szCs w:val="20"/>
        </w:rPr>
        <w:br/>
        <w:t xml:space="preserve">  </w:t>
      </w:r>
    </w:p>
    <w:p w:rsidR="001B30BC" w:rsidRPr="001B30BC" w:rsidRDefault="00406539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  <w:r w:rsidRPr="001B30BC">
        <w:rPr>
          <w:rFonts w:ascii="Arial" w:hAnsi="Arial" w:cs="Arial"/>
          <w:szCs w:val="20"/>
        </w:rPr>
        <w:br/>
      </w:r>
      <w:r w:rsid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>Dans quel cas</w:t>
      </w:r>
      <w:r w:rsidR="001B30BC" w:rsidRP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 xml:space="preserve"> </w:t>
      </w:r>
      <w:r w:rsidR="001B30BC"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  <w:t>un agent de police ou de gendarmerie peut-il demander des informations précises sur la personne domiciliée ?</w:t>
      </w:r>
    </w:p>
    <w:p w:rsidR="001B30BC" w:rsidRPr="001B30BC" w:rsidRDefault="001B30BC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p w:rsidR="001B30BC" w:rsidRDefault="001B30BC" w:rsidP="0077150A">
      <w:pPr>
        <w:autoSpaceDE w:val="0"/>
        <w:autoSpaceDN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Les officiers de police</w:t>
      </w:r>
      <w:r w:rsidR="0077150A">
        <w:rPr>
          <w:rFonts w:ascii="Arial" w:hAnsi="Arial" w:cs="Arial"/>
        </w:rPr>
        <w:t xml:space="preserve"> ou de gendarmerie</w:t>
      </w:r>
      <w:r>
        <w:rPr>
          <w:rFonts w:ascii="Arial" w:hAnsi="Arial" w:cs="Arial"/>
        </w:rPr>
        <w:t xml:space="preserve"> ne peuvent obtenir des informations que dans un cadre précis : s'ils agissent en flagrant délit, sur commission rogatoire ou dans le cadre d’une enquête préliminaire (</w:t>
      </w:r>
      <w:hyperlink r:id="rId10" w:history="1">
        <w:r w:rsidRPr="00284D5A">
          <w:rPr>
            <w:rStyle w:val="Lienhypertexte"/>
            <w:rFonts w:ascii="Arial" w:hAnsi="Arial" w:cs="Arial"/>
          </w:rPr>
          <w:t>articles 57-1</w:t>
        </w:r>
      </w:hyperlink>
      <w:r>
        <w:rPr>
          <w:rFonts w:ascii="Arial" w:hAnsi="Arial" w:cs="Arial"/>
        </w:rPr>
        <w:t xml:space="preserve">, </w:t>
      </w:r>
      <w:hyperlink r:id="rId11" w:history="1">
        <w:r w:rsidRPr="00284D5A">
          <w:rPr>
            <w:rStyle w:val="Lienhypertexte"/>
            <w:rFonts w:ascii="Arial" w:hAnsi="Arial" w:cs="Arial"/>
          </w:rPr>
          <w:t>60-1</w:t>
        </w:r>
      </w:hyperlink>
      <w:r>
        <w:rPr>
          <w:rFonts w:ascii="Arial" w:hAnsi="Arial" w:cs="Arial"/>
        </w:rPr>
        <w:t xml:space="preserve"> et </w:t>
      </w:r>
      <w:hyperlink r:id="rId12" w:history="1">
        <w:r w:rsidRPr="00284D5A">
          <w:rPr>
            <w:rStyle w:val="Lienhypertexte"/>
            <w:rFonts w:ascii="Arial" w:hAnsi="Arial" w:cs="Arial"/>
          </w:rPr>
          <w:t>76</w:t>
        </w:r>
        <w:r w:rsidR="00284D5A" w:rsidRPr="00284D5A">
          <w:rPr>
            <w:rStyle w:val="Lienhypertexte"/>
            <w:rFonts w:ascii="Arial" w:hAnsi="Arial" w:cs="Arial"/>
          </w:rPr>
          <w:t>-3</w:t>
        </w:r>
      </w:hyperlink>
      <w:r w:rsidR="00284D5A">
        <w:rPr>
          <w:rFonts w:ascii="Arial" w:hAnsi="Arial" w:cs="Arial"/>
        </w:rPr>
        <w:t xml:space="preserve"> du code de procédure pénale).</w:t>
      </w:r>
    </w:p>
    <w:p w:rsidR="00E20BCD" w:rsidRDefault="00E20BCD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p w:rsidR="00B10545" w:rsidRDefault="00B10545" w:rsidP="00B10545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</w:rPr>
      </w:pPr>
    </w:p>
    <w:p w:rsidR="00B10545" w:rsidRDefault="00B10545" w:rsidP="00B10545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szCs w:val="20"/>
          <w:highlight w:val="yellow"/>
        </w:rPr>
      </w:pPr>
      <w:r>
        <w:rPr>
          <w:rFonts w:asciiTheme="majorHAnsi" w:eastAsiaTheme="minorHAnsi" w:hAnsiTheme="majorHAnsi" w:cstheme="majorHAnsi"/>
          <w:szCs w:val="20"/>
        </w:rPr>
        <w:t xml:space="preserve">Pour aller plus loin : </w:t>
      </w:r>
      <w:r>
        <w:rPr>
          <w:rFonts w:asciiTheme="majorHAnsi" w:eastAsiaTheme="minorHAnsi" w:hAnsiTheme="majorHAnsi" w:cstheme="majorHAnsi"/>
          <w:szCs w:val="20"/>
          <w:highlight w:val="yellow"/>
        </w:rPr>
        <w:t>la « boite à outils » domiciliation de l’UNCCAS</w:t>
      </w:r>
    </w:p>
    <w:p w:rsidR="00B10545" w:rsidRPr="001B30BC" w:rsidRDefault="00B10545" w:rsidP="001B30BC">
      <w:pPr>
        <w:autoSpaceDE w:val="0"/>
        <w:autoSpaceDN w:val="0"/>
        <w:adjustRightInd w:val="0"/>
        <w:spacing w:line="240" w:lineRule="auto"/>
        <w:jc w:val="both"/>
        <w:rPr>
          <w:rFonts w:asciiTheme="majorHAnsi" w:eastAsiaTheme="minorHAnsi" w:hAnsiTheme="majorHAnsi" w:cstheme="majorHAnsi"/>
          <w:b/>
          <w:bCs/>
          <w:color w:val="C90081" w:themeColor="accent3"/>
          <w:szCs w:val="20"/>
        </w:rPr>
      </w:pPr>
    </w:p>
    <w:sectPr w:rsidR="00B10545" w:rsidRPr="001B30BC" w:rsidSect="00840F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06FEC"/>
    <w:multiLevelType w:val="hybridMultilevel"/>
    <w:tmpl w:val="DE1803BE"/>
    <w:lvl w:ilvl="0" w:tplc="39586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F635C8"/>
    <w:multiLevelType w:val="hybridMultilevel"/>
    <w:tmpl w:val="9BD22E92"/>
    <w:lvl w:ilvl="0" w:tplc="1E7E4A1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581B19"/>
    <w:multiLevelType w:val="hybridMultilevel"/>
    <w:tmpl w:val="AEE4DF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915A4"/>
    <w:multiLevelType w:val="hybridMultilevel"/>
    <w:tmpl w:val="841249A4"/>
    <w:lvl w:ilvl="0" w:tplc="64661576">
      <w:start w:val="1"/>
      <w:numFmt w:val="bullet"/>
      <w:pStyle w:val="Paragraphedeliste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948"/>
    <w:rsid w:val="000075EC"/>
    <w:rsid w:val="00017B99"/>
    <w:rsid w:val="00024A4D"/>
    <w:rsid w:val="00033F43"/>
    <w:rsid w:val="00034065"/>
    <w:rsid w:val="00046B9F"/>
    <w:rsid w:val="00047D60"/>
    <w:rsid w:val="00054B0F"/>
    <w:rsid w:val="00056317"/>
    <w:rsid w:val="00062F9F"/>
    <w:rsid w:val="00065BE4"/>
    <w:rsid w:val="000C02F4"/>
    <w:rsid w:val="000E24E7"/>
    <w:rsid w:val="000E77D7"/>
    <w:rsid w:val="000E7F31"/>
    <w:rsid w:val="0013330B"/>
    <w:rsid w:val="0014305C"/>
    <w:rsid w:val="001438EF"/>
    <w:rsid w:val="001544BF"/>
    <w:rsid w:val="00160156"/>
    <w:rsid w:val="00195208"/>
    <w:rsid w:val="001A3151"/>
    <w:rsid w:val="001A66D4"/>
    <w:rsid w:val="001B30BC"/>
    <w:rsid w:val="001E3B0D"/>
    <w:rsid w:val="001F578B"/>
    <w:rsid w:val="0020479D"/>
    <w:rsid w:val="002301BC"/>
    <w:rsid w:val="002309EB"/>
    <w:rsid w:val="00235B9F"/>
    <w:rsid w:val="00243649"/>
    <w:rsid w:val="00247AAD"/>
    <w:rsid w:val="00281B10"/>
    <w:rsid w:val="00284D5A"/>
    <w:rsid w:val="002850C9"/>
    <w:rsid w:val="002B4277"/>
    <w:rsid w:val="002C3948"/>
    <w:rsid w:val="002D72C9"/>
    <w:rsid w:val="00301E8E"/>
    <w:rsid w:val="003463E8"/>
    <w:rsid w:val="003531CE"/>
    <w:rsid w:val="0037397F"/>
    <w:rsid w:val="00384E89"/>
    <w:rsid w:val="00390955"/>
    <w:rsid w:val="003938EA"/>
    <w:rsid w:val="003C1206"/>
    <w:rsid w:val="003E4E01"/>
    <w:rsid w:val="00400787"/>
    <w:rsid w:val="00406539"/>
    <w:rsid w:val="004123DE"/>
    <w:rsid w:val="00416C95"/>
    <w:rsid w:val="00443791"/>
    <w:rsid w:val="00446667"/>
    <w:rsid w:val="0044685C"/>
    <w:rsid w:val="004607CB"/>
    <w:rsid w:val="00467045"/>
    <w:rsid w:val="00482952"/>
    <w:rsid w:val="004937A5"/>
    <w:rsid w:val="004D73B7"/>
    <w:rsid w:val="00504060"/>
    <w:rsid w:val="00505121"/>
    <w:rsid w:val="0052437D"/>
    <w:rsid w:val="00526992"/>
    <w:rsid w:val="00542317"/>
    <w:rsid w:val="005B019B"/>
    <w:rsid w:val="005B504D"/>
    <w:rsid w:val="005C7FD5"/>
    <w:rsid w:val="005F02B8"/>
    <w:rsid w:val="006248F5"/>
    <w:rsid w:val="006369D5"/>
    <w:rsid w:val="00653ECC"/>
    <w:rsid w:val="00656003"/>
    <w:rsid w:val="00670271"/>
    <w:rsid w:val="006765FC"/>
    <w:rsid w:val="006B053A"/>
    <w:rsid w:val="006C126B"/>
    <w:rsid w:val="006D23FC"/>
    <w:rsid w:val="006F681F"/>
    <w:rsid w:val="00702D4F"/>
    <w:rsid w:val="0070659F"/>
    <w:rsid w:val="00743B1B"/>
    <w:rsid w:val="0076042C"/>
    <w:rsid w:val="00763E3A"/>
    <w:rsid w:val="00766736"/>
    <w:rsid w:val="0077150A"/>
    <w:rsid w:val="0077188A"/>
    <w:rsid w:val="00772AD2"/>
    <w:rsid w:val="00773E1C"/>
    <w:rsid w:val="007866F8"/>
    <w:rsid w:val="007B1057"/>
    <w:rsid w:val="007B3894"/>
    <w:rsid w:val="007B3BB3"/>
    <w:rsid w:val="007B5681"/>
    <w:rsid w:val="007C4501"/>
    <w:rsid w:val="007D152C"/>
    <w:rsid w:val="007D1AF6"/>
    <w:rsid w:val="007F69E7"/>
    <w:rsid w:val="0080219C"/>
    <w:rsid w:val="0081486D"/>
    <w:rsid w:val="00826AF9"/>
    <w:rsid w:val="00835D4B"/>
    <w:rsid w:val="00840F3A"/>
    <w:rsid w:val="008621EC"/>
    <w:rsid w:val="008946D7"/>
    <w:rsid w:val="008F1EF7"/>
    <w:rsid w:val="00900A25"/>
    <w:rsid w:val="00930A1A"/>
    <w:rsid w:val="00937B82"/>
    <w:rsid w:val="009538B6"/>
    <w:rsid w:val="009712AB"/>
    <w:rsid w:val="009A1D52"/>
    <w:rsid w:val="009A2A71"/>
    <w:rsid w:val="009C3923"/>
    <w:rsid w:val="009D43D8"/>
    <w:rsid w:val="009D43E5"/>
    <w:rsid w:val="009D7F1E"/>
    <w:rsid w:val="009E144B"/>
    <w:rsid w:val="009E322C"/>
    <w:rsid w:val="009F76D7"/>
    <w:rsid w:val="00A24817"/>
    <w:rsid w:val="00A872A0"/>
    <w:rsid w:val="00AA3504"/>
    <w:rsid w:val="00AB0919"/>
    <w:rsid w:val="00AC5F9D"/>
    <w:rsid w:val="00AD38C2"/>
    <w:rsid w:val="00AF14ED"/>
    <w:rsid w:val="00B10545"/>
    <w:rsid w:val="00B22AB4"/>
    <w:rsid w:val="00B326A7"/>
    <w:rsid w:val="00B41A49"/>
    <w:rsid w:val="00B445CD"/>
    <w:rsid w:val="00B44EB1"/>
    <w:rsid w:val="00B529D8"/>
    <w:rsid w:val="00B60146"/>
    <w:rsid w:val="00B83527"/>
    <w:rsid w:val="00BA0CA5"/>
    <w:rsid w:val="00BD5C96"/>
    <w:rsid w:val="00BF2A78"/>
    <w:rsid w:val="00C00021"/>
    <w:rsid w:val="00C0223F"/>
    <w:rsid w:val="00C257E4"/>
    <w:rsid w:val="00C661E6"/>
    <w:rsid w:val="00C854EC"/>
    <w:rsid w:val="00CC6438"/>
    <w:rsid w:val="00D041AC"/>
    <w:rsid w:val="00D21151"/>
    <w:rsid w:val="00D44954"/>
    <w:rsid w:val="00D76912"/>
    <w:rsid w:val="00DA1A97"/>
    <w:rsid w:val="00DA24F3"/>
    <w:rsid w:val="00DC4160"/>
    <w:rsid w:val="00E120E1"/>
    <w:rsid w:val="00E20BCD"/>
    <w:rsid w:val="00E21985"/>
    <w:rsid w:val="00E66447"/>
    <w:rsid w:val="00E93B3C"/>
    <w:rsid w:val="00EA72A5"/>
    <w:rsid w:val="00EB1489"/>
    <w:rsid w:val="00EB6907"/>
    <w:rsid w:val="00EC30FD"/>
    <w:rsid w:val="00EC5BE1"/>
    <w:rsid w:val="00EE2DB8"/>
    <w:rsid w:val="00F118D3"/>
    <w:rsid w:val="00F6230A"/>
    <w:rsid w:val="00F63174"/>
    <w:rsid w:val="00FB1744"/>
    <w:rsid w:val="00FB3770"/>
    <w:rsid w:val="00FB571D"/>
    <w:rsid w:val="00FC1F4F"/>
    <w:rsid w:val="00FD63FF"/>
    <w:rsid w:val="00FE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85F55-3F1E-42BF-AF49-F898058A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3948"/>
    <w:pPr>
      <w:spacing w:line="276" w:lineRule="auto"/>
    </w:pPr>
    <w:rPr>
      <w:rFonts w:asciiTheme="minorHAnsi" w:eastAsiaTheme="minorEastAsia" w:hAnsiTheme="minorHAnsi" w:cstheme="minorBidi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B326A7"/>
    <w:pPr>
      <w:spacing w:line="240" w:lineRule="auto"/>
      <w:ind w:firstLine="142"/>
      <w:jc w:val="center"/>
      <w:outlineLvl w:val="0"/>
    </w:pPr>
    <w:rPr>
      <w:rFonts w:asciiTheme="majorHAnsi" w:eastAsiaTheme="minorHAnsi" w:hAnsiTheme="majorHAnsi" w:cs="Arial"/>
      <w:b/>
      <w:color w:val="005B99" w:themeColor="accent1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B326A7"/>
    <w:pPr>
      <w:keepNext/>
      <w:spacing w:before="240" w:after="60"/>
      <w:jc w:val="both"/>
      <w:outlineLvl w:val="1"/>
    </w:pPr>
    <w:rPr>
      <w:rFonts w:ascii="Arial" w:eastAsiaTheme="minorHAnsi" w:hAnsi="Arial" w:cs="Arial"/>
      <w:b/>
      <w:bCs/>
      <w:iCs/>
      <w:color w:val="C90081" w:themeColor="accent3"/>
      <w:sz w:val="22"/>
      <w:szCs w:val="28"/>
    </w:rPr>
  </w:style>
  <w:style w:type="paragraph" w:styleId="Titre3">
    <w:name w:val="heading 3"/>
    <w:basedOn w:val="Titre2"/>
    <w:next w:val="Normal"/>
    <w:link w:val="Titre3Car"/>
    <w:uiPriority w:val="9"/>
    <w:qFormat/>
    <w:rsid w:val="00B326A7"/>
    <w:pPr>
      <w:spacing w:line="360" w:lineRule="auto"/>
      <w:ind w:left="589" w:hanging="589"/>
      <w:outlineLvl w:val="2"/>
    </w:pPr>
    <w:rPr>
      <w:rFonts w:asciiTheme="majorHAnsi" w:hAnsiTheme="majorHAnsi"/>
      <w:b w:val="0"/>
      <w:color w:val="005B99" w:themeColor="accent1"/>
      <w:sz w:val="20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326A7"/>
    <w:rPr>
      <w:rFonts w:asciiTheme="majorHAnsi" w:hAnsiTheme="majorHAnsi" w:cs="Arial"/>
      <w:b/>
      <w:color w:val="005B99" w:themeColor="accent1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B326A7"/>
    <w:rPr>
      <w:rFonts w:ascii="Arial" w:hAnsi="Arial" w:cs="Arial"/>
      <w:b/>
      <w:bCs/>
      <w:iCs/>
      <w:color w:val="C90081" w:themeColor="accent3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326A7"/>
    <w:rPr>
      <w:rFonts w:asciiTheme="majorHAnsi" w:hAnsiTheme="majorHAnsi" w:cs="Arial"/>
      <w:bCs/>
      <w:iCs/>
      <w:color w:val="005B99" w:themeColor="accent1"/>
      <w:sz w:val="20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326A7"/>
    <w:pPr>
      <w:numPr>
        <w:ilvl w:val="1"/>
      </w:numPr>
    </w:pPr>
    <w:rPr>
      <w:rFonts w:asciiTheme="majorHAnsi" w:eastAsiaTheme="majorEastAsia" w:hAnsiTheme="majorHAnsi" w:cstheme="majorBidi"/>
      <w:i/>
      <w:iCs/>
      <w:color w:val="005B99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326A7"/>
    <w:rPr>
      <w:rFonts w:asciiTheme="majorHAnsi" w:eastAsiaTheme="majorEastAsia" w:hAnsiTheme="majorHAnsi" w:cstheme="majorBidi"/>
      <w:i/>
      <w:iCs/>
      <w:color w:val="005B99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B326A7"/>
    <w:rPr>
      <w:rFonts w:cs="Times New Roman"/>
      <w:b/>
      <w:bCs/>
    </w:rPr>
  </w:style>
  <w:style w:type="character" w:styleId="Accentuation">
    <w:name w:val="Emphasis"/>
    <w:basedOn w:val="Policepardfaut"/>
    <w:uiPriority w:val="20"/>
    <w:qFormat/>
    <w:rsid w:val="00B326A7"/>
    <w:rPr>
      <w:rFonts w:cs="Times New Roman"/>
      <w:i/>
      <w:iCs/>
    </w:rPr>
  </w:style>
  <w:style w:type="paragraph" w:styleId="Sansinterligne">
    <w:name w:val="No Spacing"/>
    <w:uiPriority w:val="1"/>
    <w:qFormat/>
    <w:rsid w:val="00B326A7"/>
    <w:rPr>
      <w:rFonts w:asciiTheme="minorHAnsi" w:hAnsiTheme="minorHAnsi"/>
      <w:sz w:val="20"/>
      <w:szCs w:val="24"/>
    </w:rPr>
  </w:style>
  <w:style w:type="paragraph" w:styleId="Paragraphedeliste">
    <w:name w:val="List Paragraph"/>
    <w:basedOn w:val="Normal"/>
    <w:link w:val="ParagraphedelisteCar"/>
    <w:uiPriority w:val="34"/>
    <w:qFormat/>
    <w:rsid w:val="00B326A7"/>
    <w:pPr>
      <w:numPr>
        <w:numId w:val="1"/>
      </w:numPr>
    </w:pPr>
    <w:rPr>
      <w:rFonts w:eastAsiaTheme="minorHAnsi" w:cstheme="minorHAnsi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326A7"/>
    <w:rPr>
      <w:rFonts w:asciiTheme="minorHAnsi" w:hAnsiTheme="minorHAnsi" w:cstheme="minorHAnsi"/>
      <w:sz w:val="20"/>
      <w:szCs w:val="24"/>
    </w:rPr>
  </w:style>
  <w:style w:type="character" w:styleId="Titredulivre">
    <w:name w:val="Book Title"/>
    <w:basedOn w:val="Policepardfaut"/>
    <w:uiPriority w:val="33"/>
    <w:qFormat/>
    <w:rsid w:val="00B326A7"/>
    <w:rPr>
      <w:b/>
      <w:bCs/>
      <w:smallCaps/>
      <w:spacing w:val="5"/>
    </w:rPr>
  </w:style>
  <w:style w:type="paragraph" w:customStyle="1" w:styleId="Paragraphedeliste1">
    <w:name w:val="Paragraphe de liste1"/>
    <w:basedOn w:val="Normal"/>
    <w:qFormat/>
    <w:rsid w:val="00B326A7"/>
    <w:pPr>
      <w:contextualSpacing/>
    </w:pPr>
    <w:rPr>
      <w:rFonts w:ascii="Arial" w:eastAsia="PMingLiU" w:hAnsi="Arial" w:cs="Arial"/>
      <w:lang w:eastAsia="zh-TW" w:bidi="he-IL"/>
    </w:rPr>
  </w:style>
  <w:style w:type="character" w:styleId="Lienhypertexte">
    <w:name w:val="Hyperlink"/>
    <w:basedOn w:val="Policepardfaut"/>
    <w:uiPriority w:val="99"/>
    <w:unhideWhenUsed/>
    <w:rsid w:val="002C394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B30BC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72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2A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6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nil.fr/fr/la-communication-de-renseignements-sur-les-administres-par-les-collectivites-locales-qui-et-quell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ccas.org/le-secret-professionnel" TargetMode="External"/><Relationship Id="rId12" Type="http://schemas.openxmlformats.org/officeDocument/2006/relationships/hyperlink" Target="https://www.legifrance.gouv.fr/affichCodeArticle.do?idArticle=LEGIARTI000006575129&amp;cidTexte=LEGITEXT00000607115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egifrance.gouv.fr/affichCodeArticle.do;jsessionid=5BE286B3BD12DA5E595EDA4CFE0ADD7C.tpdila08v_2?idArticle=LEGIARTI000032568411&amp;cidTexte=LEGITEXT000006074069&amp;dateTexte=20161004" TargetMode="External"/><Relationship Id="rId11" Type="http://schemas.openxmlformats.org/officeDocument/2006/relationships/hyperlink" Target="https://www.legifrance.gouv.fr/affichCodeArticle.do?cidTexte=LEGITEXT000006071154&amp;idArticle=LEGIARTI000006575048&amp;dateTexte=&amp;categorieLien=cid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s://www.legifrance.gouv.fr/affichCodeArticle.do?cidTexte=LEGITEXT000006071154&amp;idArticle=LEGIARTI000006575037&amp;dateTexte=&amp;categorieLien=ci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egifrance.gouv.fr/affichCodeArticle.do?cidTexte=LEGITEXT000025024948&amp;idArticle=LEGIARTI000025025763&amp;dateTexte=2012061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UNCCA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B99"/>
      </a:accent1>
      <a:accent2>
        <a:srgbClr val="FFC61E"/>
      </a:accent2>
      <a:accent3>
        <a:srgbClr val="C90081"/>
      </a:accent3>
      <a:accent4>
        <a:srgbClr val="56AA1C"/>
      </a:accent4>
      <a:accent5>
        <a:srgbClr val="F77F00"/>
      </a:accent5>
      <a:accent6>
        <a:srgbClr val="00A6EB"/>
      </a:accent6>
      <a:hlink>
        <a:srgbClr val="0000FF"/>
      </a:hlink>
      <a:folHlink>
        <a:srgbClr val="800080"/>
      </a:folHlink>
    </a:clrScheme>
    <a:fontScheme name="UNCCA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932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castel</dc:creator>
  <cp:keywords/>
  <dc:description/>
  <cp:lastModifiedBy>Antoine MATH</cp:lastModifiedBy>
  <cp:revision>2</cp:revision>
  <dcterms:created xsi:type="dcterms:W3CDTF">2019-02-12T10:33:00Z</dcterms:created>
  <dcterms:modified xsi:type="dcterms:W3CDTF">2019-02-12T10:33:00Z</dcterms:modified>
</cp:coreProperties>
</file>