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01C" w:rsidRPr="0070701C" w:rsidRDefault="0070701C" w:rsidP="0070701C">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r w:rsidRPr="0070701C">
        <w:rPr>
          <w:rFonts w:ascii="Times New Roman" w:eastAsia="Times New Roman" w:hAnsi="Times New Roman" w:cs="Times New Roman"/>
          <w:b/>
          <w:sz w:val="24"/>
          <w:szCs w:val="24"/>
          <w:u w:val="single"/>
          <w:lang w:eastAsia="fr-FR"/>
        </w:rPr>
        <w:t>Neutralisation/abattement de l’ADA lors de l’ouverture du RSA aux réfugiés et bénéficiaires de la protection subsidiaire</w:t>
      </w:r>
    </w:p>
    <w:p w:rsidR="00193106" w:rsidRDefault="00EF3F73" w:rsidP="0070701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193106">
        <w:rPr>
          <w:rFonts w:ascii="Times New Roman" w:eastAsia="Times New Roman" w:hAnsi="Times New Roman" w:cs="Times New Roman"/>
          <w:sz w:val="24"/>
          <w:szCs w:val="24"/>
          <w:lang w:eastAsia="fr-FR"/>
        </w:rPr>
        <w:t xml:space="preserve">a </w:t>
      </w:r>
      <w:r>
        <w:rPr>
          <w:rFonts w:ascii="Times New Roman" w:eastAsia="Times New Roman" w:hAnsi="Times New Roman" w:cs="Times New Roman"/>
          <w:sz w:val="24"/>
          <w:szCs w:val="24"/>
          <w:lang w:eastAsia="fr-FR"/>
        </w:rPr>
        <w:t xml:space="preserve">règle pour l’attribution et le calcul du RSA est la prise en compte de la </w:t>
      </w:r>
      <w:r w:rsidR="00193106">
        <w:rPr>
          <w:rFonts w:ascii="Times New Roman" w:eastAsia="Times New Roman" w:hAnsi="Times New Roman" w:cs="Times New Roman"/>
          <w:sz w:val="24"/>
          <w:szCs w:val="24"/>
          <w:lang w:eastAsia="fr-FR"/>
        </w:rPr>
        <w:t xml:space="preserve">plupart des ressources, </w:t>
      </w:r>
      <w:r>
        <w:rPr>
          <w:rFonts w:ascii="Times New Roman" w:eastAsia="Times New Roman" w:hAnsi="Times New Roman" w:cs="Times New Roman"/>
          <w:sz w:val="24"/>
          <w:szCs w:val="24"/>
          <w:lang w:eastAsia="fr-FR"/>
        </w:rPr>
        <w:t>qu’elles qu’en soient leur nature (</w:t>
      </w:r>
      <w:r w:rsidRPr="00EF3F73">
        <w:rPr>
          <w:rFonts w:ascii="Times New Roman" w:eastAsia="Times New Roman" w:hAnsi="Times New Roman" w:cs="Times New Roman"/>
          <w:sz w:val="24"/>
          <w:szCs w:val="24"/>
          <w:lang w:eastAsia="fr-FR"/>
        </w:rPr>
        <w:t xml:space="preserve">L262-3, </w:t>
      </w:r>
      <w:r w:rsidRPr="00EF3F73">
        <w:rPr>
          <w:rFonts w:ascii="Times New Roman" w:hAnsi="Times New Roman" w:cs="Times New Roman"/>
          <w:sz w:val="24"/>
          <w:szCs w:val="24"/>
        </w:rPr>
        <w:t>R262-6</w:t>
      </w:r>
      <w:r w:rsidRPr="00EF3F73">
        <w:rPr>
          <w:rFonts w:ascii="Times New Roman" w:eastAsia="Times New Roman" w:hAnsi="Times New Roman" w:cs="Times New Roman"/>
          <w:sz w:val="24"/>
          <w:szCs w:val="24"/>
          <w:lang w:eastAsia="fr-FR"/>
        </w:rPr>
        <w:t xml:space="preserve"> </w:t>
      </w:r>
      <w:r w:rsidR="00A03824">
        <w:rPr>
          <w:rFonts w:ascii="Times New Roman" w:eastAsia="Times New Roman" w:hAnsi="Times New Roman" w:cs="Times New Roman"/>
          <w:sz w:val="24"/>
          <w:szCs w:val="24"/>
          <w:lang w:eastAsia="fr-FR"/>
        </w:rPr>
        <w:t xml:space="preserve">du code de l’action sociale et des familles - CASF). </w:t>
      </w:r>
      <w:r>
        <w:rPr>
          <w:rFonts w:ascii="Times New Roman" w:eastAsia="Times New Roman" w:hAnsi="Times New Roman" w:cs="Times New Roman"/>
          <w:sz w:val="24"/>
          <w:szCs w:val="24"/>
          <w:lang w:eastAsia="fr-FR"/>
        </w:rPr>
        <w:t>L’</w:t>
      </w:r>
      <w:r w:rsidR="0070701C" w:rsidRPr="0070701C">
        <w:rPr>
          <w:rFonts w:ascii="Times New Roman" w:eastAsia="Times New Roman" w:hAnsi="Times New Roman" w:cs="Times New Roman"/>
          <w:sz w:val="24"/>
          <w:szCs w:val="24"/>
          <w:lang w:eastAsia="fr-FR"/>
        </w:rPr>
        <w:t>ADA (comme l’ATA</w:t>
      </w:r>
      <w:r w:rsidR="00193106">
        <w:rPr>
          <w:rFonts w:ascii="Times New Roman" w:eastAsia="Times New Roman" w:hAnsi="Times New Roman" w:cs="Times New Roman"/>
          <w:sz w:val="24"/>
          <w:szCs w:val="24"/>
          <w:lang w:eastAsia="fr-FR"/>
        </w:rPr>
        <w:t xml:space="preserve"> auparavant</w:t>
      </w:r>
      <w:r w:rsidR="0070701C" w:rsidRPr="0070701C">
        <w:rPr>
          <w:rFonts w:ascii="Times New Roman" w:eastAsia="Times New Roman" w:hAnsi="Times New Roman" w:cs="Times New Roman"/>
          <w:sz w:val="24"/>
          <w:szCs w:val="24"/>
          <w:lang w:eastAsia="fr-FR"/>
        </w:rPr>
        <w:t xml:space="preserve">) </w:t>
      </w:r>
      <w:r w:rsidR="00A03824">
        <w:rPr>
          <w:rFonts w:ascii="Times New Roman" w:eastAsia="Times New Roman" w:hAnsi="Times New Roman" w:cs="Times New Roman"/>
          <w:sz w:val="24"/>
          <w:szCs w:val="24"/>
          <w:lang w:eastAsia="fr-FR"/>
        </w:rPr>
        <w:t xml:space="preserve">doit être prise en compte. Elle </w:t>
      </w:r>
      <w:r>
        <w:rPr>
          <w:rFonts w:ascii="Times New Roman" w:eastAsia="Times New Roman" w:hAnsi="Times New Roman" w:cs="Times New Roman"/>
          <w:sz w:val="24"/>
          <w:szCs w:val="24"/>
          <w:lang w:eastAsia="fr-FR"/>
        </w:rPr>
        <w:t xml:space="preserve">ne fait en effet pas partie des ressources </w:t>
      </w:r>
      <w:r w:rsidR="00A03824">
        <w:rPr>
          <w:rFonts w:ascii="Times New Roman" w:eastAsia="Times New Roman" w:hAnsi="Times New Roman" w:cs="Times New Roman"/>
          <w:sz w:val="24"/>
          <w:szCs w:val="24"/>
          <w:lang w:eastAsia="fr-FR"/>
        </w:rPr>
        <w:t xml:space="preserve">ne devant pas être </w:t>
      </w:r>
      <w:r>
        <w:rPr>
          <w:rFonts w:ascii="Times New Roman" w:eastAsia="Times New Roman" w:hAnsi="Times New Roman" w:cs="Times New Roman"/>
          <w:sz w:val="24"/>
          <w:szCs w:val="24"/>
          <w:lang w:eastAsia="fr-FR"/>
        </w:rPr>
        <w:t xml:space="preserve">prises en compte (figurant à l’article </w:t>
      </w:r>
      <w:r w:rsidRPr="00EF3F73">
        <w:rPr>
          <w:rFonts w:ascii="Times New Roman" w:hAnsi="Times New Roman" w:cs="Times New Roman"/>
          <w:sz w:val="24"/>
          <w:szCs w:val="24"/>
        </w:rPr>
        <w:t>R262-11</w:t>
      </w:r>
      <w:r w:rsidRPr="00EF3F73">
        <w:rPr>
          <w:rFonts w:ascii="Times New Roman" w:eastAsia="Times New Roman" w:hAnsi="Times New Roman" w:cs="Times New Roman"/>
          <w:sz w:val="24"/>
          <w:szCs w:val="24"/>
          <w:lang w:eastAsia="fr-FR"/>
        </w:rPr>
        <w:t xml:space="preserve"> CASF</w:t>
      </w:r>
      <w:r>
        <w:rPr>
          <w:rFonts w:ascii="Times New Roman" w:eastAsia="Times New Roman" w:hAnsi="Times New Roman" w:cs="Times New Roman"/>
          <w:sz w:val="24"/>
          <w:szCs w:val="24"/>
          <w:lang w:eastAsia="fr-FR"/>
        </w:rPr>
        <w:t>)</w:t>
      </w:r>
      <w:r w:rsidR="00193106">
        <w:rPr>
          <w:rFonts w:ascii="Times New Roman" w:eastAsia="Times New Roman" w:hAnsi="Times New Roman" w:cs="Times New Roman"/>
          <w:sz w:val="24"/>
          <w:szCs w:val="24"/>
          <w:lang w:eastAsia="fr-FR"/>
        </w:rPr>
        <w:t>. Ceci signifie notamment que, pour un même mois de perception, il n’est pas possible de percevoir l’ADA et le RSA à taux plein. En cas de perception simultanée, le RSA ne p</w:t>
      </w:r>
      <w:r>
        <w:rPr>
          <w:rFonts w:ascii="Times New Roman" w:eastAsia="Times New Roman" w:hAnsi="Times New Roman" w:cs="Times New Roman"/>
          <w:sz w:val="24"/>
          <w:szCs w:val="24"/>
          <w:lang w:eastAsia="fr-FR"/>
        </w:rPr>
        <w:t xml:space="preserve">ourrait </w:t>
      </w:r>
      <w:r w:rsidR="00193106">
        <w:rPr>
          <w:rFonts w:ascii="Times New Roman" w:eastAsia="Times New Roman" w:hAnsi="Times New Roman" w:cs="Times New Roman"/>
          <w:sz w:val="24"/>
          <w:szCs w:val="24"/>
          <w:lang w:eastAsia="fr-FR"/>
        </w:rPr>
        <w:t>intervenir qu’en complément des ressources procurées par l’ADA.</w:t>
      </w:r>
    </w:p>
    <w:p w:rsidR="0070701C" w:rsidRPr="0070701C" w:rsidRDefault="00A03824" w:rsidP="0070701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Mais, ce cas de figure ne doit pas être confondu avec la situation dans laquelle</w:t>
      </w:r>
      <w:r w:rsidR="0070701C" w:rsidRPr="0070701C">
        <w:rPr>
          <w:rFonts w:ascii="Times New Roman" w:eastAsia="Times New Roman" w:hAnsi="Times New Roman" w:cs="Times New Roman"/>
          <w:sz w:val="24"/>
          <w:szCs w:val="24"/>
          <w:lang w:eastAsia="fr-FR"/>
        </w:rPr>
        <w:t xml:space="preserve"> l’ADA </w:t>
      </w:r>
      <w:r w:rsidR="00EF3F73">
        <w:rPr>
          <w:rFonts w:ascii="Times New Roman" w:eastAsia="Times New Roman" w:hAnsi="Times New Roman" w:cs="Times New Roman"/>
          <w:sz w:val="24"/>
          <w:szCs w:val="24"/>
          <w:lang w:eastAsia="fr-FR"/>
        </w:rPr>
        <w:t xml:space="preserve">a été perçue lors du trimestre précédent (au moins un des trois mois) </w:t>
      </w:r>
      <w:r>
        <w:rPr>
          <w:rFonts w:ascii="Times New Roman" w:eastAsia="Times New Roman" w:hAnsi="Times New Roman" w:cs="Times New Roman"/>
          <w:sz w:val="24"/>
          <w:szCs w:val="24"/>
          <w:lang w:eastAsia="fr-FR"/>
        </w:rPr>
        <w:t xml:space="preserve">mais </w:t>
      </w:r>
      <w:r w:rsidR="0070701C" w:rsidRPr="0070701C">
        <w:rPr>
          <w:rFonts w:ascii="Times New Roman" w:eastAsia="Times New Roman" w:hAnsi="Times New Roman" w:cs="Times New Roman"/>
          <w:sz w:val="24"/>
          <w:szCs w:val="24"/>
          <w:lang w:eastAsia="fr-FR"/>
        </w:rPr>
        <w:t>n’est plus perçue</w:t>
      </w:r>
      <w:r>
        <w:rPr>
          <w:rFonts w:ascii="Times New Roman" w:eastAsia="Times New Roman" w:hAnsi="Times New Roman" w:cs="Times New Roman"/>
          <w:sz w:val="24"/>
          <w:szCs w:val="24"/>
          <w:lang w:eastAsia="fr-FR"/>
        </w:rPr>
        <w:t xml:space="preserve"> au moment de la demande ou du renouvellement trimestriel du RSA. Dans ce cas, si </w:t>
      </w:r>
      <w:r w:rsidR="0070701C" w:rsidRPr="0070701C">
        <w:rPr>
          <w:rFonts w:ascii="Times New Roman" w:eastAsia="Times New Roman" w:hAnsi="Times New Roman" w:cs="Times New Roman"/>
          <w:sz w:val="24"/>
          <w:szCs w:val="24"/>
          <w:lang w:eastAsia="fr-FR"/>
        </w:rPr>
        <w:t xml:space="preserve">l’ADA </w:t>
      </w:r>
      <w:r>
        <w:rPr>
          <w:rFonts w:ascii="Times New Roman" w:eastAsia="Times New Roman" w:hAnsi="Times New Roman" w:cs="Times New Roman"/>
          <w:sz w:val="24"/>
          <w:szCs w:val="24"/>
          <w:lang w:eastAsia="fr-FR"/>
        </w:rPr>
        <w:t xml:space="preserve">doit toujours être bien </w:t>
      </w:r>
      <w:r w:rsidR="0070701C" w:rsidRPr="0070701C">
        <w:rPr>
          <w:rFonts w:ascii="Times New Roman" w:eastAsia="Times New Roman" w:hAnsi="Times New Roman" w:cs="Times New Roman"/>
          <w:sz w:val="24"/>
          <w:szCs w:val="24"/>
          <w:lang w:eastAsia="fr-FR"/>
        </w:rPr>
        <w:t>indiquée dans la déclaration trimestrielle de ressources (ressources des trois mois précédent la demande ou le renouvellement)</w:t>
      </w:r>
      <w:r>
        <w:rPr>
          <w:rFonts w:ascii="Times New Roman" w:eastAsia="Times New Roman" w:hAnsi="Times New Roman" w:cs="Times New Roman"/>
          <w:sz w:val="24"/>
          <w:szCs w:val="24"/>
          <w:lang w:eastAsia="fr-FR"/>
        </w:rPr>
        <w:t xml:space="preserve">, elle </w:t>
      </w:r>
      <w:r w:rsidR="0070701C" w:rsidRPr="0070701C">
        <w:rPr>
          <w:rFonts w:ascii="Times New Roman" w:eastAsia="Times New Roman" w:hAnsi="Times New Roman" w:cs="Times New Roman"/>
          <w:sz w:val="24"/>
          <w:szCs w:val="24"/>
          <w:lang w:eastAsia="fr-FR"/>
        </w:rPr>
        <w:t xml:space="preserve">doit faire </w:t>
      </w:r>
      <w:r w:rsidR="0070701C" w:rsidRPr="0070701C">
        <w:rPr>
          <w:rFonts w:ascii="Times New Roman" w:eastAsia="Times New Roman" w:hAnsi="Times New Roman" w:cs="Times New Roman"/>
          <w:sz w:val="24"/>
          <w:szCs w:val="24"/>
          <w:u w:val="single"/>
          <w:lang w:eastAsia="fr-FR"/>
        </w:rPr>
        <w:t>l’objet d’un « abattement »</w:t>
      </w:r>
      <w:r w:rsidR="0070701C" w:rsidRPr="0070701C">
        <w:rPr>
          <w:rFonts w:ascii="Times New Roman" w:eastAsia="Times New Roman" w:hAnsi="Times New Roman" w:cs="Times New Roman"/>
          <w:sz w:val="24"/>
          <w:szCs w:val="24"/>
          <w:lang w:eastAsia="fr-FR"/>
        </w:rPr>
        <w:t xml:space="preserve"> (dans le j</w:t>
      </w:r>
      <w:r w:rsidR="00193106">
        <w:rPr>
          <w:rFonts w:ascii="Times New Roman" w:eastAsia="Times New Roman" w:hAnsi="Times New Roman" w:cs="Times New Roman"/>
          <w:sz w:val="24"/>
          <w:szCs w:val="24"/>
          <w:lang w:eastAsia="fr-FR"/>
        </w:rPr>
        <w:t>argon</w:t>
      </w:r>
      <w:r>
        <w:rPr>
          <w:rFonts w:ascii="Times New Roman" w:eastAsia="Times New Roman" w:hAnsi="Times New Roman" w:cs="Times New Roman"/>
          <w:sz w:val="24"/>
          <w:szCs w:val="24"/>
          <w:lang w:eastAsia="fr-FR"/>
        </w:rPr>
        <w:t xml:space="preserve"> CAF</w:t>
      </w:r>
      <w:r w:rsidR="00193106">
        <w:rPr>
          <w:rFonts w:ascii="Times New Roman" w:eastAsia="Times New Roman" w:hAnsi="Times New Roman" w:cs="Times New Roman"/>
          <w:sz w:val="24"/>
          <w:szCs w:val="24"/>
          <w:lang w:eastAsia="fr-FR"/>
        </w:rPr>
        <w:t xml:space="preserve">), un abattement au plus égal au </w:t>
      </w:r>
      <w:r w:rsidR="0070701C" w:rsidRPr="0070701C">
        <w:rPr>
          <w:rFonts w:ascii="Times New Roman" w:eastAsia="Times New Roman" w:hAnsi="Times New Roman" w:cs="Times New Roman"/>
          <w:sz w:val="24"/>
          <w:szCs w:val="24"/>
          <w:lang w:eastAsia="fr-FR"/>
        </w:rPr>
        <w:t>montant maximum du RSA pour une personne (environ 5</w:t>
      </w:r>
      <w:r w:rsidR="00193106">
        <w:rPr>
          <w:rFonts w:ascii="Times New Roman" w:eastAsia="Times New Roman" w:hAnsi="Times New Roman" w:cs="Times New Roman"/>
          <w:sz w:val="24"/>
          <w:szCs w:val="24"/>
          <w:lang w:eastAsia="fr-FR"/>
        </w:rPr>
        <w:t>3</w:t>
      </w:r>
      <w:r w:rsidR="0070701C" w:rsidRPr="0070701C">
        <w:rPr>
          <w:rFonts w:ascii="Times New Roman" w:eastAsia="Times New Roman" w:hAnsi="Times New Roman" w:cs="Times New Roman"/>
          <w:sz w:val="24"/>
          <w:szCs w:val="24"/>
          <w:lang w:eastAsia="fr-FR"/>
        </w:rPr>
        <w:t>0 euros par mois</w:t>
      </w:r>
      <w:r w:rsidR="00193106">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Cela </w:t>
      </w:r>
      <w:r w:rsidR="00193106">
        <w:rPr>
          <w:rFonts w:ascii="Times New Roman" w:eastAsia="Times New Roman" w:hAnsi="Times New Roman" w:cs="Times New Roman"/>
          <w:sz w:val="24"/>
          <w:szCs w:val="24"/>
          <w:lang w:eastAsia="fr-FR"/>
        </w:rPr>
        <w:t>signifie, en pratique, que l’ADA</w:t>
      </w:r>
      <w:r>
        <w:rPr>
          <w:rFonts w:ascii="Times New Roman" w:eastAsia="Times New Roman" w:hAnsi="Times New Roman" w:cs="Times New Roman"/>
          <w:sz w:val="24"/>
          <w:szCs w:val="24"/>
          <w:lang w:eastAsia="fr-FR"/>
        </w:rPr>
        <w:t xml:space="preserve"> (perçue lors du trimestre précédent et déclarée)</w:t>
      </w:r>
      <w:r w:rsidR="00193106">
        <w:rPr>
          <w:rFonts w:ascii="Times New Roman" w:eastAsia="Times New Roman" w:hAnsi="Times New Roman" w:cs="Times New Roman"/>
          <w:sz w:val="24"/>
          <w:szCs w:val="24"/>
          <w:lang w:eastAsia="fr-FR"/>
        </w:rPr>
        <w:t xml:space="preserve"> n</w:t>
      </w:r>
      <w:r>
        <w:rPr>
          <w:rFonts w:ascii="Times New Roman" w:eastAsia="Times New Roman" w:hAnsi="Times New Roman" w:cs="Times New Roman"/>
          <w:sz w:val="24"/>
          <w:szCs w:val="24"/>
          <w:lang w:eastAsia="fr-FR"/>
        </w:rPr>
        <w:t xml:space="preserve">e sera pas </w:t>
      </w:r>
      <w:r w:rsidR="00193106">
        <w:rPr>
          <w:rFonts w:ascii="Times New Roman" w:eastAsia="Times New Roman" w:hAnsi="Times New Roman" w:cs="Times New Roman"/>
          <w:sz w:val="24"/>
          <w:szCs w:val="24"/>
          <w:lang w:eastAsia="fr-FR"/>
        </w:rPr>
        <w:t xml:space="preserve">prise en compte dans le calcul puisque son montant est inférieur </w:t>
      </w:r>
      <w:r>
        <w:rPr>
          <w:rFonts w:ascii="Times New Roman" w:eastAsia="Times New Roman" w:hAnsi="Times New Roman" w:cs="Times New Roman"/>
          <w:sz w:val="24"/>
          <w:szCs w:val="24"/>
          <w:lang w:eastAsia="fr-FR"/>
        </w:rPr>
        <w:t xml:space="preserve">au </w:t>
      </w:r>
      <w:r w:rsidR="00193106">
        <w:rPr>
          <w:rFonts w:ascii="Times New Roman" w:eastAsia="Times New Roman" w:hAnsi="Times New Roman" w:cs="Times New Roman"/>
          <w:sz w:val="24"/>
          <w:szCs w:val="24"/>
          <w:lang w:eastAsia="fr-FR"/>
        </w:rPr>
        <w:t>mo</w:t>
      </w:r>
      <w:r w:rsidR="00F110C5">
        <w:rPr>
          <w:rFonts w:ascii="Times New Roman" w:eastAsia="Times New Roman" w:hAnsi="Times New Roman" w:cs="Times New Roman"/>
          <w:sz w:val="24"/>
          <w:szCs w:val="24"/>
          <w:lang w:eastAsia="fr-FR"/>
        </w:rPr>
        <w:t>ntant</w:t>
      </w:r>
      <w:r w:rsidR="0019310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du RSA personne seule sauf de rares </w:t>
      </w:r>
      <w:r w:rsidR="00F110C5">
        <w:rPr>
          <w:rFonts w:ascii="Times New Roman" w:eastAsia="Times New Roman" w:hAnsi="Times New Roman" w:cs="Times New Roman"/>
          <w:sz w:val="24"/>
          <w:szCs w:val="24"/>
          <w:lang w:eastAsia="fr-FR"/>
        </w:rPr>
        <w:t xml:space="preserve">situations de </w:t>
      </w:r>
      <w:r w:rsidR="00193106">
        <w:rPr>
          <w:rFonts w:ascii="Times New Roman" w:eastAsia="Times New Roman" w:hAnsi="Times New Roman" w:cs="Times New Roman"/>
          <w:sz w:val="24"/>
          <w:szCs w:val="24"/>
          <w:lang w:eastAsia="fr-FR"/>
        </w:rPr>
        <w:t>familles nombreuses</w:t>
      </w:r>
      <w:r w:rsidR="00F110C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(dans ce cas, </w:t>
      </w:r>
      <w:r w:rsidR="00F110C5">
        <w:rPr>
          <w:rFonts w:ascii="Times New Roman" w:eastAsia="Times New Roman" w:hAnsi="Times New Roman" w:cs="Times New Roman"/>
          <w:sz w:val="24"/>
          <w:szCs w:val="24"/>
          <w:lang w:eastAsia="fr-FR"/>
        </w:rPr>
        <w:t>l’ADA</w:t>
      </w:r>
      <w:r>
        <w:rPr>
          <w:rFonts w:ascii="Times New Roman" w:eastAsia="Times New Roman" w:hAnsi="Times New Roman" w:cs="Times New Roman"/>
          <w:sz w:val="24"/>
          <w:szCs w:val="24"/>
          <w:lang w:eastAsia="fr-FR"/>
        </w:rPr>
        <w:t xml:space="preserve"> versée</w:t>
      </w:r>
      <w:r w:rsidR="00F110C5">
        <w:rPr>
          <w:rFonts w:ascii="Times New Roman" w:eastAsia="Times New Roman" w:hAnsi="Times New Roman" w:cs="Times New Roman"/>
          <w:sz w:val="24"/>
          <w:szCs w:val="24"/>
          <w:lang w:eastAsia="fr-FR"/>
        </w:rPr>
        <w:t xml:space="preserve">, supérieure </w:t>
      </w:r>
      <w:r>
        <w:rPr>
          <w:rFonts w:ascii="Times New Roman" w:eastAsia="Times New Roman" w:hAnsi="Times New Roman" w:cs="Times New Roman"/>
          <w:sz w:val="24"/>
          <w:szCs w:val="24"/>
          <w:lang w:eastAsia="fr-FR"/>
        </w:rPr>
        <w:t xml:space="preserve">au montant RSA pour une personne seule, </w:t>
      </w:r>
      <w:r w:rsidR="00F110C5">
        <w:rPr>
          <w:rFonts w:ascii="Times New Roman" w:eastAsia="Times New Roman" w:hAnsi="Times New Roman" w:cs="Times New Roman"/>
          <w:sz w:val="24"/>
          <w:szCs w:val="24"/>
          <w:lang w:eastAsia="fr-FR"/>
        </w:rPr>
        <w:t xml:space="preserve">sera prise en compte pour la partie supérieur </w:t>
      </w:r>
      <w:r>
        <w:rPr>
          <w:rFonts w:ascii="Times New Roman" w:eastAsia="Times New Roman" w:hAnsi="Times New Roman" w:cs="Times New Roman"/>
          <w:sz w:val="24"/>
          <w:szCs w:val="24"/>
          <w:lang w:eastAsia="fr-FR"/>
        </w:rPr>
        <w:t xml:space="preserve">à ce </w:t>
      </w:r>
      <w:r w:rsidR="00F110C5">
        <w:rPr>
          <w:rFonts w:ascii="Times New Roman" w:eastAsia="Times New Roman" w:hAnsi="Times New Roman" w:cs="Times New Roman"/>
          <w:sz w:val="24"/>
          <w:szCs w:val="24"/>
          <w:lang w:eastAsia="fr-FR"/>
        </w:rPr>
        <w:t>montant du RSA pour une personne seule</w:t>
      </w:r>
      <w:r w:rsidR="00193106">
        <w:rPr>
          <w:rFonts w:ascii="Times New Roman" w:eastAsia="Times New Roman" w:hAnsi="Times New Roman" w:cs="Times New Roman"/>
          <w:sz w:val="24"/>
          <w:szCs w:val="24"/>
          <w:lang w:eastAsia="fr-FR"/>
        </w:rPr>
        <w:t xml:space="preserve">). </w:t>
      </w:r>
      <w:r w:rsidR="0070701C" w:rsidRPr="0070701C">
        <w:rPr>
          <w:rFonts w:ascii="Times New Roman" w:eastAsia="Times New Roman" w:hAnsi="Times New Roman" w:cs="Times New Roman"/>
          <w:sz w:val="24"/>
          <w:szCs w:val="24"/>
          <w:lang w:eastAsia="fr-FR"/>
        </w:rPr>
        <w:t xml:space="preserve"> </w:t>
      </w:r>
    </w:p>
    <w:p w:rsidR="00F76E4C" w:rsidRDefault="00193106" w:rsidP="0070701C">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Ce mécanisme d’abattement est prévu par l’</w:t>
      </w:r>
      <w:r w:rsidR="0070701C" w:rsidRPr="0070701C">
        <w:rPr>
          <w:rFonts w:ascii="Times New Roman" w:eastAsia="Times New Roman" w:hAnsi="Times New Roman" w:cs="Times New Roman"/>
          <w:sz w:val="24"/>
          <w:szCs w:val="24"/>
          <w:lang w:eastAsia="fr-FR"/>
        </w:rPr>
        <w:t>article R262-13 CASF</w:t>
      </w:r>
      <w:r>
        <w:rPr>
          <w:rFonts w:ascii="Times New Roman" w:eastAsia="Times New Roman" w:hAnsi="Times New Roman" w:cs="Times New Roman"/>
          <w:sz w:val="24"/>
          <w:szCs w:val="24"/>
          <w:lang w:eastAsia="fr-FR"/>
        </w:rPr>
        <w:t> :</w:t>
      </w:r>
      <w:r w:rsidR="0070701C" w:rsidRPr="0070701C">
        <w:rPr>
          <w:rFonts w:ascii="Times New Roman" w:eastAsia="Times New Roman" w:hAnsi="Times New Roman" w:cs="Times New Roman"/>
          <w:sz w:val="24"/>
          <w:szCs w:val="24"/>
          <w:lang w:eastAsia="fr-FR"/>
        </w:rPr>
        <w:t xml:space="preserve"> « </w:t>
      </w:r>
      <w:r w:rsidR="0070701C" w:rsidRPr="0070701C">
        <w:rPr>
          <w:rFonts w:ascii="Times New Roman" w:eastAsia="Times New Roman" w:hAnsi="Times New Roman" w:cs="Times New Roman"/>
          <w:i/>
          <w:sz w:val="24"/>
          <w:szCs w:val="24"/>
          <w:lang w:eastAsia="fr-FR"/>
        </w:rPr>
        <w:t xml:space="preserve">Les </w:t>
      </w:r>
      <w:r w:rsidR="0070701C" w:rsidRPr="0070701C">
        <w:rPr>
          <w:rFonts w:ascii="Times New Roman" w:eastAsia="Times New Roman" w:hAnsi="Times New Roman" w:cs="Times New Roman"/>
          <w:i/>
          <w:sz w:val="24"/>
          <w:szCs w:val="24"/>
          <w:u w:val="single"/>
          <w:lang w:eastAsia="fr-FR"/>
        </w:rPr>
        <w:t>autres ressources</w:t>
      </w:r>
      <w:r w:rsidR="0070701C" w:rsidRPr="0070701C">
        <w:rPr>
          <w:rFonts w:ascii="Times New Roman" w:eastAsia="Times New Roman" w:hAnsi="Times New Roman" w:cs="Times New Roman"/>
          <w:i/>
          <w:sz w:val="24"/>
          <w:szCs w:val="24"/>
          <w:lang w:eastAsia="fr-FR"/>
        </w:rPr>
        <w:t xml:space="preserve"> </w:t>
      </w:r>
      <w:r w:rsidR="0070701C" w:rsidRPr="0070701C">
        <w:rPr>
          <w:rFonts w:ascii="Times New Roman" w:eastAsia="Times New Roman" w:hAnsi="Times New Roman" w:cs="Times New Roman"/>
          <w:sz w:val="24"/>
          <w:szCs w:val="24"/>
          <w:lang w:eastAsia="fr-FR"/>
        </w:rPr>
        <w:t xml:space="preserve">[que </w:t>
      </w:r>
      <w:r>
        <w:rPr>
          <w:rFonts w:ascii="Times New Roman" w:eastAsia="Times New Roman" w:hAnsi="Times New Roman" w:cs="Times New Roman"/>
          <w:sz w:val="24"/>
          <w:szCs w:val="24"/>
          <w:lang w:eastAsia="fr-FR"/>
        </w:rPr>
        <w:t xml:space="preserve">les </w:t>
      </w:r>
      <w:r w:rsidR="0070701C" w:rsidRPr="0070701C">
        <w:rPr>
          <w:rFonts w:ascii="Times New Roman" w:eastAsia="Times New Roman" w:hAnsi="Times New Roman" w:cs="Times New Roman"/>
          <w:sz w:val="24"/>
          <w:szCs w:val="24"/>
          <w:lang w:eastAsia="fr-FR"/>
        </w:rPr>
        <w:t xml:space="preserve">revenus d’activité ou </w:t>
      </w:r>
      <w:r>
        <w:rPr>
          <w:rFonts w:ascii="Times New Roman" w:eastAsia="Times New Roman" w:hAnsi="Times New Roman" w:cs="Times New Roman"/>
          <w:sz w:val="24"/>
          <w:szCs w:val="24"/>
          <w:lang w:eastAsia="fr-FR"/>
        </w:rPr>
        <w:t xml:space="preserve">les </w:t>
      </w:r>
      <w:r w:rsidR="0070701C" w:rsidRPr="0070701C">
        <w:rPr>
          <w:rFonts w:ascii="Times New Roman" w:eastAsia="Times New Roman" w:hAnsi="Times New Roman" w:cs="Times New Roman"/>
          <w:sz w:val="24"/>
          <w:szCs w:val="24"/>
          <w:lang w:eastAsia="fr-FR"/>
        </w:rPr>
        <w:t>prestations chômage]</w:t>
      </w:r>
      <w:r w:rsidR="0070701C" w:rsidRPr="0070701C">
        <w:rPr>
          <w:rFonts w:ascii="Times New Roman" w:eastAsia="Times New Roman" w:hAnsi="Times New Roman" w:cs="Times New Roman"/>
          <w:i/>
          <w:sz w:val="24"/>
          <w:szCs w:val="24"/>
          <w:lang w:eastAsia="fr-FR"/>
        </w:rPr>
        <w:t xml:space="preserve"> </w:t>
      </w:r>
      <w:r w:rsidR="0070701C" w:rsidRPr="00193106">
        <w:rPr>
          <w:rFonts w:ascii="Times New Roman" w:eastAsia="Times New Roman" w:hAnsi="Times New Roman" w:cs="Times New Roman"/>
          <w:i/>
          <w:sz w:val="24"/>
          <w:szCs w:val="24"/>
          <w:u w:val="single"/>
          <w:lang w:eastAsia="fr-FR"/>
        </w:rPr>
        <w:t>ne sont pas prises en compte</w:t>
      </w:r>
      <w:r w:rsidR="0070701C" w:rsidRPr="0070701C">
        <w:rPr>
          <w:rFonts w:ascii="Times New Roman" w:eastAsia="Times New Roman" w:hAnsi="Times New Roman" w:cs="Times New Roman"/>
          <w:i/>
          <w:sz w:val="24"/>
          <w:szCs w:val="24"/>
          <w:lang w:eastAsia="fr-FR"/>
        </w:rPr>
        <w:t xml:space="preserve">, dans la limite mensuelle du montant forfaitaire mentionné à </w:t>
      </w:r>
      <w:hyperlink r:id="rId5" w:history="1">
        <w:r w:rsidR="0070701C" w:rsidRPr="0070701C">
          <w:rPr>
            <w:rFonts w:ascii="Times New Roman" w:eastAsia="Times New Roman" w:hAnsi="Times New Roman" w:cs="Times New Roman"/>
            <w:i/>
            <w:color w:val="0000FF"/>
            <w:sz w:val="24"/>
            <w:szCs w:val="24"/>
            <w:u w:val="single"/>
            <w:lang w:eastAsia="fr-FR"/>
          </w:rPr>
          <w:t xml:space="preserve">l'article L. 262-2 </w:t>
        </w:r>
      </w:hyperlink>
      <w:r w:rsidR="0070701C" w:rsidRPr="0070701C">
        <w:rPr>
          <w:rFonts w:ascii="Times New Roman" w:eastAsia="Times New Roman" w:hAnsi="Times New Roman" w:cs="Times New Roman"/>
          <w:i/>
          <w:sz w:val="24"/>
          <w:szCs w:val="24"/>
          <w:lang w:eastAsia="fr-FR"/>
        </w:rPr>
        <w:t xml:space="preserve">fixé pour un foyer composé d'une seule personne, </w:t>
      </w:r>
      <w:r w:rsidR="0070701C" w:rsidRPr="0070701C">
        <w:rPr>
          <w:rFonts w:ascii="Times New Roman" w:eastAsia="Times New Roman" w:hAnsi="Times New Roman" w:cs="Times New Roman"/>
          <w:i/>
          <w:sz w:val="24"/>
          <w:szCs w:val="24"/>
          <w:u w:val="single"/>
          <w:lang w:eastAsia="fr-FR"/>
        </w:rPr>
        <w:t>lorsqu'il est justifié que leur perception est interrompue de manière certaine et que l'intéressé ne peut prétendre à un revenu de substitution</w:t>
      </w:r>
      <w:r w:rsidR="0070701C" w:rsidRPr="0070701C">
        <w:rPr>
          <w:rFonts w:ascii="Times New Roman" w:eastAsia="Times New Roman" w:hAnsi="Times New Roman" w:cs="Times New Roman"/>
          <w:b/>
          <w:sz w:val="24"/>
          <w:szCs w:val="24"/>
          <w:lang w:eastAsia="fr-FR"/>
        </w:rPr>
        <w:t xml:space="preserve"> ». </w:t>
      </w:r>
    </w:p>
    <w:p w:rsidR="0070701C" w:rsidRPr="0070701C" w:rsidRDefault="00193106" w:rsidP="0070701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w:t>
      </w:r>
      <w:r w:rsidR="0070701C" w:rsidRPr="0070701C">
        <w:rPr>
          <w:rFonts w:ascii="Times New Roman" w:eastAsia="Times New Roman" w:hAnsi="Times New Roman" w:cs="Times New Roman"/>
          <w:b/>
          <w:sz w:val="24"/>
          <w:szCs w:val="24"/>
          <w:lang w:eastAsia="fr-FR"/>
        </w:rPr>
        <w:t>« </w:t>
      </w:r>
      <w:r w:rsidR="0070701C" w:rsidRPr="0070701C">
        <w:rPr>
          <w:rFonts w:ascii="Times New Roman" w:eastAsia="Times New Roman" w:hAnsi="Times New Roman" w:cs="Times New Roman"/>
          <w:sz w:val="24"/>
          <w:szCs w:val="24"/>
          <w:lang w:eastAsia="fr-FR"/>
        </w:rPr>
        <w:t>suivi législati</w:t>
      </w:r>
      <w:r w:rsidR="00F76E4C">
        <w:rPr>
          <w:rFonts w:ascii="Times New Roman" w:eastAsia="Times New Roman" w:hAnsi="Times New Roman" w:cs="Times New Roman"/>
          <w:sz w:val="24"/>
          <w:szCs w:val="24"/>
          <w:lang w:eastAsia="fr-FR"/>
        </w:rPr>
        <w:t>f RSA » de la CNAF d’avril 2013</w:t>
      </w:r>
      <w:r>
        <w:rPr>
          <w:rFonts w:ascii="Times New Roman" w:eastAsia="Times New Roman" w:hAnsi="Times New Roman" w:cs="Times New Roman"/>
          <w:sz w:val="24"/>
          <w:szCs w:val="24"/>
          <w:lang w:eastAsia="fr-FR"/>
        </w:rPr>
        <w:t xml:space="preserve"> (instruction non publiée) rappelle également</w:t>
      </w:r>
      <w:r w:rsidR="00F76E4C">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ce mécanisme </w:t>
      </w:r>
      <w:r w:rsidR="00A03824">
        <w:rPr>
          <w:rFonts w:ascii="Times New Roman" w:eastAsia="Times New Roman" w:hAnsi="Times New Roman" w:cs="Times New Roman"/>
          <w:sz w:val="24"/>
          <w:szCs w:val="24"/>
          <w:lang w:eastAsia="fr-FR"/>
        </w:rPr>
        <w:t xml:space="preserve">et en donne des précisions </w:t>
      </w:r>
      <w:r w:rsidR="00F76E4C">
        <w:rPr>
          <w:rFonts w:ascii="Times New Roman" w:eastAsia="Times New Roman" w:hAnsi="Times New Roman" w:cs="Times New Roman"/>
          <w:sz w:val="24"/>
          <w:szCs w:val="24"/>
          <w:lang w:eastAsia="fr-FR"/>
        </w:rPr>
        <w:t>(</w:t>
      </w:r>
      <w:r w:rsidR="00A03824">
        <w:rPr>
          <w:rFonts w:ascii="Times New Roman" w:eastAsia="Times New Roman" w:hAnsi="Times New Roman" w:cs="Times New Roman"/>
          <w:sz w:val="24"/>
          <w:szCs w:val="24"/>
          <w:lang w:eastAsia="fr-FR"/>
        </w:rPr>
        <w:t>voir plus loin</w:t>
      </w:r>
      <w:r w:rsidR="00F76E4C">
        <w:rPr>
          <w:rFonts w:ascii="Times New Roman" w:eastAsia="Times New Roman" w:hAnsi="Times New Roman" w:cs="Times New Roman"/>
          <w:sz w:val="24"/>
          <w:szCs w:val="24"/>
          <w:lang w:eastAsia="fr-FR"/>
        </w:rPr>
        <w:t>)</w:t>
      </w:r>
    </w:p>
    <w:p w:rsidR="0070701C" w:rsidRPr="0070701C" w:rsidRDefault="0070701C" w:rsidP="0070701C">
      <w:pPr>
        <w:spacing w:before="100" w:beforeAutospacing="1" w:after="100" w:afterAutospacing="1" w:line="240" w:lineRule="auto"/>
        <w:rPr>
          <w:rFonts w:ascii="Times New Roman" w:eastAsia="Times New Roman" w:hAnsi="Times New Roman" w:cs="Times New Roman"/>
          <w:sz w:val="24"/>
          <w:szCs w:val="24"/>
          <w:lang w:eastAsia="fr-FR"/>
        </w:rPr>
      </w:pPr>
      <w:r w:rsidRPr="0070701C">
        <w:rPr>
          <w:rFonts w:ascii="Times New Roman" w:eastAsia="Times New Roman" w:hAnsi="Times New Roman" w:cs="Times New Roman"/>
          <w:sz w:val="24"/>
          <w:szCs w:val="24"/>
          <w:lang w:eastAsia="fr-FR"/>
        </w:rPr>
        <w:t xml:space="preserve">Concrètement, pour l’application de </w:t>
      </w:r>
      <w:r w:rsidR="00F110C5">
        <w:rPr>
          <w:rFonts w:ascii="Times New Roman" w:eastAsia="Times New Roman" w:hAnsi="Times New Roman" w:cs="Times New Roman"/>
          <w:sz w:val="24"/>
          <w:szCs w:val="24"/>
          <w:lang w:eastAsia="fr-FR"/>
        </w:rPr>
        <w:t xml:space="preserve">cet abattement (ou </w:t>
      </w:r>
      <w:r w:rsidRPr="0070701C">
        <w:rPr>
          <w:rFonts w:ascii="Times New Roman" w:eastAsia="Times New Roman" w:hAnsi="Times New Roman" w:cs="Times New Roman"/>
          <w:sz w:val="24"/>
          <w:szCs w:val="24"/>
          <w:lang w:eastAsia="fr-FR"/>
        </w:rPr>
        <w:t>neutralisation</w:t>
      </w:r>
      <w:r w:rsidR="00F110C5">
        <w:rPr>
          <w:rFonts w:ascii="Times New Roman" w:eastAsia="Times New Roman" w:hAnsi="Times New Roman" w:cs="Times New Roman"/>
          <w:sz w:val="24"/>
          <w:szCs w:val="24"/>
          <w:lang w:eastAsia="fr-FR"/>
        </w:rPr>
        <w:t>)</w:t>
      </w:r>
      <w:r w:rsidRPr="0070701C">
        <w:rPr>
          <w:rFonts w:ascii="Times New Roman" w:eastAsia="Times New Roman" w:hAnsi="Times New Roman" w:cs="Times New Roman"/>
          <w:sz w:val="24"/>
          <w:szCs w:val="24"/>
          <w:lang w:eastAsia="fr-FR"/>
        </w:rPr>
        <w:t xml:space="preserve">, la personne peut en effet, cocher et remplir les ressources que la personne ne </w:t>
      </w:r>
      <w:r w:rsidR="00F76E4C">
        <w:rPr>
          <w:rFonts w:ascii="Times New Roman" w:eastAsia="Times New Roman" w:hAnsi="Times New Roman" w:cs="Times New Roman"/>
          <w:sz w:val="24"/>
          <w:szCs w:val="24"/>
          <w:lang w:eastAsia="fr-FR"/>
        </w:rPr>
        <w:t xml:space="preserve">perçoit </w:t>
      </w:r>
      <w:r w:rsidRPr="0070701C">
        <w:rPr>
          <w:rFonts w:ascii="Times New Roman" w:eastAsia="Times New Roman" w:hAnsi="Times New Roman" w:cs="Times New Roman"/>
          <w:sz w:val="24"/>
          <w:szCs w:val="24"/>
          <w:lang w:eastAsia="fr-FR"/>
        </w:rPr>
        <w:t>plus</w:t>
      </w:r>
      <w:r w:rsidR="00F110C5">
        <w:rPr>
          <w:rFonts w:ascii="Times New Roman" w:eastAsia="Times New Roman" w:hAnsi="Times New Roman" w:cs="Times New Roman"/>
          <w:sz w:val="24"/>
          <w:szCs w:val="24"/>
          <w:lang w:eastAsia="fr-FR"/>
        </w:rPr>
        <w:t>, soit dans le formulaire en ligne de la déclaration trimestrielle de ressources, soit</w:t>
      </w:r>
      <w:r w:rsidR="00F76E4C">
        <w:rPr>
          <w:rFonts w:ascii="Times New Roman" w:eastAsia="Times New Roman" w:hAnsi="Times New Roman" w:cs="Times New Roman"/>
          <w:sz w:val="24"/>
          <w:szCs w:val="24"/>
          <w:lang w:eastAsia="fr-FR"/>
        </w:rPr>
        <w:t xml:space="preserve"> </w:t>
      </w:r>
      <w:r w:rsidR="00F76E4C" w:rsidRPr="0070701C">
        <w:rPr>
          <w:rFonts w:ascii="Times New Roman" w:eastAsia="Times New Roman" w:hAnsi="Times New Roman" w:cs="Times New Roman"/>
          <w:sz w:val="24"/>
          <w:szCs w:val="24"/>
          <w:lang w:eastAsia="fr-FR"/>
        </w:rPr>
        <w:t xml:space="preserve">dans le formulaire </w:t>
      </w:r>
      <w:r w:rsidR="00F110C5">
        <w:rPr>
          <w:rFonts w:ascii="Times New Roman" w:eastAsia="Times New Roman" w:hAnsi="Times New Roman" w:cs="Times New Roman"/>
          <w:sz w:val="24"/>
          <w:szCs w:val="24"/>
          <w:lang w:eastAsia="fr-FR"/>
        </w:rPr>
        <w:t>Cerfa n°</w:t>
      </w:r>
      <w:r w:rsidR="00193106" w:rsidRPr="00193106">
        <w:rPr>
          <w:rFonts w:ascii="Times New Roman" w:eastAsia="Times New Roman" w:hAnsi="Times New Roman" w:cs="Times New Roman"/>
          <w:sz w:val="24"/>
          <w:szCs w:val="24"/>
          <w:lang w:eastAsia="fr-FR"/>
        </w:rPr>
        <w:t>15481*01</w:t>
      </w:r>
      <w:r w:rsidR="00F110C5">
        <w:rPr>
          <w:rFonts w:ascii="Times New Roman" w:eastAsia="Times New Roman" w:hAnsi="Times New Roman" w:cs="Times New Roman"/>
          <w:sz w:val="24"/>
          <w:szCs w:val="24"/>
          <w:lang w:eastAsia="fr-FR"/>
        </w:rPr>
        <w:t xml:space="preserve"> qui indique :</w:t>
      </w:r>
    </w:p>
    <w:p w:rsidR="0070701C" w:rsidRPr="0070701C" w:rsidRDefault="0070701C" w:rsidP="0070701C">
      <w:pPr>
        <w:autoSpaceDE w:val="0"/>
        <w:autoSpaceDN w:val="0"/>
        <w:adjustRightInd w:val="0"/>
        <w:spacing w:before="100" w:beforeAutospacing="1" w:after="0" w:line="240" w:lineRule="auto"/>
        <w:rPr>
          <w:rFonts w:ascii="Times New Roman" w:eastAsia="Times New Roman" w:hAnsi="Times New Roman" w:cs="Times New Roman"/>
          <w:sz w:val="24"/>
          <w:szCs w:val="24"/>
          <w:lang w:eastAsia="fr-FR"/>
        </w:rPr>
      </w:pPr>
      <w:r w:rsidRPr="0070701C">
        <w:rPr>
          <w:rFonts w:ascii="TimesNewRomanPS-BoldMT" w:eastAsia="Times New Roman" w:hAnsi="TimesNewRomanPS-BoldMT" w:cs="TimesNewRomanPS-BoldMT"/>
          <w:b/>
          <w:bCs/>
          <w:color w:val="005BA9"/>
          <w:sz w:val="20"/>
          <w:szCs w:val="20"/>
          <w:lang w:eastAsia="fr-FR"/>
        </w:rPr>
        <w:t xml:space="preserve">« Si vous ou votre conjoint ne percevez plus l’une des ressources déclarées ci-dessus, ni aucune ressource qui les remplace, </w:t>
      </w:r>
      <w:r w:rsidRPr="0070701C">
        <w:rPr>
          <w:rFonts w:ascii="TimesNewRomanPSMT" w:eastAsia="Times New Roman" w:hAnsi="TimesNewRomanPSMT" w:cs="TimesNewRomanPSMT"/>
          <w:color w:val="005BA9"/>
          <w:sz w:val="20"/>
          <w:szCs w:val="20"/>
          <w:lang w:eastAsia="fr-FR"/>
        </w:rPr>
        <w:t xml:space="preserve">précisez le(s)quel(s) et depuis quelle date :  </w:t>
      </w:r>
    </w:p>
    <w:p w:rsidR="0070701C" w:rsidRPr="0070701C" w:rsidRDefault="0070701C" w:rsidP="0070701C">
      <w:pPr>
        <w:spacing w:before="100" w:beforeAutospacing="1" w:after="100" w:afterAutospacing="1" w:line="240" w:lineRule="auto"/>
        <w:rPr>
          <w:rFonts w:ascii="Times New Roman" w:eastAsia="Times New Roman" w:hAnsi="Times New Roman" w:cs="Times New Roman"/>
          <w:sz w:val="24"/>
          <w:szCs w:val="24"/>
          <w:lang w:eastAsia="fr-FR"/>
        </w:rPr>
      </w:pPr>
      <w:r w:rsidRPr="0070701C">
        <w:rPr>
          <w:rFonts w:ascii="Times New Roman" w:eastAsia="Times New Roman" w:hAnsi="Times New Roman" w:cs="Times New Roman"/>
          <w:sz w:val="24"/>
          <w:szCs w:val="24"/>
          <w:lang w:eastAsia="fr-FR"/>
        </w:rPr>
        <w:t xml:space="preserve">En revanche, </w:t>
      </w:r>
      <w:r w:rsidRPr="0070701C">
        <w:rPr>
          <w:rFonts w:ascii="Times New Roman" w:eastAsia="Times New Roman" w:hAnsi="Times New Roman" w:cs="Times New Roman"/>
          <w:sz w:val="24"/>
          <w:szCs w:val="24"/>
          <w:u w:val="single"/>
          <w:lang w:eastAsia="fr-FR"/>
        </w:rPr>
        <w:t>il n’y a pas de neutralisation ou abattement en ce qui concerne la prime d’activité</w:t>
      </w:r>
      <w:r w:rsidRPr="0070701C">
        <w:rPr>
          <w:rFonts w:ascii="Times New Roman" w:eastAsia="Times New Roman" w:hAnsi="Times New Roman" w:cs="Times New Roman"/>
          <w:sz w:val="24"/>
          <w:szCs w:val="24"/>
          <w:lang w:eastAsia="fr-FR"/>
        </w:rPr>
        <w:t xml:space="preserve"> (à la différence du RSA activité, remplacé par la prime d’activité au 1</w:t>
      </w:r>
      <w:r w:rsidRPr="0070701C">
        <w:rPr>
          <w:rFonts w:ascii="Times New Roman" w:eastAsia="Times New Roman" w:hAnsi="Times New Roman" w:cs="Times New Roman"/>
          <w:sz w:val="24"/>
          <w:szCs w:val="24"/>
          <w:vertAlign w:val="superscript"/>
          <w:lang w:eastAsia="fr-FR"/>
        </w:rPr>
        <w:t>er</w:t>
      </w:r>
      <w:r w:rsidRPr="0070701C">
        <w:rPr>
          <w:rFonts w:ascii="Times New Roman" w:eastAsia="Times New Roman" w:hAnsi="Times New Roman" w:cs="Times New Roman"/>
          <w:sz w:val="24"/>
          <w:szCs w:val="24"/>
          <w:lang w:eastAsia="fr-FR"/>
        </w:rPr>
        <w:t xml:space="preserve"> janvier 2016)</w:t>
      </w:r>
      <w:r w:rsidR="00F110C5">
        <w:rPr>
          <w:rFonts w:ascii="Times New Roman" w:eastAsia="Times New Roman" w:hAnsi="Times New Roman" w:cs="Times New Roman"/>
          <w:sz w:val="24"/>
          <w:szCs w:val="24"/>
          <w:lang w:eastAsia="fr-FR"/>
        </w:rPr>
        <w:t>.</w:t>
      </w:r>
    </w:p>
    <w:p w:rsidR="0070701C" w:rsidRPr="0070701C" w:rsidRDefault="00F110C5" w:rsidP="0070701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w:t>
      </w:r>
      <w:r w:rsidR="0070701C" w:rsidRPr="0070701C">
        <w:rPr>
          <w:rFonts w:ascii="Times New Roman" w:eastAsia="Times New Roman" w:hAnsi="Times New Roman" w:cs="Times New Roman"/>
          <w:sz w:val="24"/>
          <w:szCs w:val="24"/>
          <w:lang w:eastAsia="fr-FR"/>
        </w:rPr>
        <w:t xml:space="preserve">e pas appliquer </w:t>
      </w:r>
      <w:r w:rsidR="00F76E4C">
        <w:rPr>
          <w:rFonts w:ascii="Times New Roman" w:eastAsia="Times New Roman" w:hAnsi="Times New Roman" w:cs="Times New Roman"/>
          <w:sz w:val="24"/>
          <w:szCs w:val="24"/>
          <w:lang w:eastAsia="fr-FR"/>
        </w:rPr>
        <w:t>l’</w:t>
      </w:r>
      <w:r w:rsidR="0070701C" w:rsidRPr="0070701C">
        <w:rPr>
          <w:rFonts w:ascii="Times New Roman" w:eastAsia="Times New Roman" w:hAnsi="Times New Roman" w:cs="Times New Roman"/>
          <w:sz w:val="24"/>
          <w:szCs w:val="24"/>
          <w:lang w:eastAsia="fr-FR"/>
        </w:rPr>
        <w:t xml:space="preserve">abattement de l’ADA à l’ouverture des droits RSA est </w:t>
      </w:r>
      <w:r>
        <w:rPr>
          <w:rFonts w:ascii="Times New Roman" w:eastAsia="Times New Roman" w:hAnsi="Times New Roman" w:cs="Times New Roman"/>
          <w:sz w:val="24"/>
          <w:szCs w:val="24"/>
          <w:lang w:eastAsia="fr-FR"/>
        </w:rPr>
        <w:t xml:space="preserve">donc </w:t>
      </w:r>
      <w:r w:rsidR="0070701C" w:rsidRPr="0070701C">
        <w:rPr>
          <w:rFonts w:ascii="Times New Roman" w:eastAsia="Times New Roman" w:hAnsi="Times New Roman" w:cs="Times New Roman"/>
          <w:sz w:val="24"/>
          <w:szCs w:val="24"/>
          <w:lang w:eastAsia="fr-FR"/>
        </w:rPr>
        <w:t>très contestable.</w:t>
      </w:r>
    </w:p>
    <w:p w:rsidR="0070701C" w:rsidRPr="0070701C" w:rsidRDefault="0070701C" w:rsidP="0070701C">
      <w:pPr>
        <w:spacing w:before="100" w:beforeAutospacing="1" w:after="100" w:afterAutospacing="1" w:line="240" w:lineRule="auto"/>
        <w:rPr>
          <w:rFonts w:ascii="Times New Roman" w:eastAsia="Times New Roman" w:hAnsi="Times New Roman" w:cs="Times New Roman"/>
          <w:sz w:val="24"/>
          <w:szCs w:val="24"/>
          <w:lang w:eastAsia="fr-FR"/>
        </w:rPr>
      </w:pPr>
      <w:r w:rsidRPr="0070701C">
        <w:rPr>
          <w:rFonts w:ascii="Times New Roman" w:eastAsia="Times New Roman" w:hAnsi="Times New Roman" w:cs="Times New Roman"/>
          <w:sz w:val="24"/>
          <w:szCs w:val="24"/>
          <w:lang w:eastAsia="fr-FR"/>
        </w:rPr>
        <w:t xml:space="preserve">Et ce, d’autant plus que la Lettre réseau CNAF LR n° 2017 - 003 du 18 janvier 2017 sur "La réforme du droit d’asile et les modalités de gestion des droits aux prestations en faveur des personnes réfugiées" le précise, ajoutant même que la personne n’a pas à fournir un justificatif </w:t>
      </w:r>
      <w:r w:rsidRPr="0070701C">
        <w:rPr>
          <w:rFonts w:ascii="Times New Roman" w:eastAsia="Times New Roman" w:hAnsi="Times New Roman" w:cs="Times New Roman"/>
          <w:sz w:val="24"/>
          <w:szCs w:val="24"/>
          <w:lang w:eastAsia="fr-FR"/>
        </w:rPr>
        <w:lastRenderedPageBreak/>
        <w:t>attestant de la fin de perception de l’ADA</w:t>
      </w:r>
      <w:r w:rsidR="00F110C5">
        <w:rPr>
          <w:rFonts w:ascii="Times New Roman" w:eastAsia="Times New Roman" w:hAnsi="Times New Roman" w:cs="Times New Roman"/>
          <w:sz w:val="24"/>
          <w:szCs w:val="24"/>
          <w:lang w:eastAsia="fr-FR"/>
        </w:rPr>
        <w:t xml:space="preserve"> (il suffit de le déclarer dans le formulaire de demande</w:t>
      </w:r>
      <w:proofErr w:type="gramStart"/>
      <w:r w:rsidR="00F110C5">
        <w:rPr>
          <w:rFonts w:ascii="Times New Roman" w:eastAsia="Times New Roman" w:hAnsi="Times New Roman" w:cs="Times New Roman"/>
          <w:sz w:val="24"/>
          <w:szCs w:val="24"/>
          <w:lang w:eastAsia="fr-FR"/>
        </w:rPr>
        <w:t xml:space="preserve">) </w:t>
      </w:r>
      <w:r w:rsidR="00A03824">
        <w:rPr>
          <w:rFonts w:ascii="Times New Roman" w:eastAsia="Times New Roman" w:hAnsi="Times New Roman" w:cs="Times New Roman"/>
          <w:sz w:val="24"/>
          <w:szCs w:val="24"/>
          <w:lang w:eastAsia="fr-FR"/>
        </w:rPr>
        <w:t xml:space="preserve"> </w:t>
      </w:r>
      <w:r w:rsidRPr="0070701C">
        <w:rPr>
          <w:rFonts w:ascii="Times New Roman" w:eastAsia="Times New Roman" w:hAnsi="Times New Roman" w:cs="Times New Roman"/>
          <w:sz w:val="24"/>
          <w:szCs w:val="24"/>
          <w:lang w:eastAsia="fr-FR"/>
        </w:rPr>
        <w:t>:</w:t>
      </w:r>
      <w:proofErr w:type="gramEnd"/>
    </w:p>
    <w:p w:rsidR="0070701C" w:rsidRPr="0070701C" w:rsidRDefault="0070701C" w:rsidP="0070701C">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70701C">
        <w:rPr>
          <w:rFonts w:ascii="Times New Roman" w:eastAsia="Times New Roman" w:hAnsi="Times New Roman" w:cs="Times New Roman"/>
          <w:sz w:val="24"/>
          <w:szCs w:val="24"/>
          <w:lang w:eastAsia="fr-FR"/>
        </w:rPr>
        <w:t>« </w:t>
      </w:r>
      <w:r w:rsidRPr="0070701C">
        <w:rPr>
          <w:rFonts w:ascii="Arial" w:eastAsia="Times New Roman" w:hAnsi="Arial" w:cs="Arial"/>
          <w:bCs/>
          <w:i/>
          <w:color w:val="000000"/>
          <w:sz w:val="24"/>
          <w:szCs w:val="24"/>
          <w:u w:val="single"/>
          <w:lang w:eastAsia="fr-FR"/>
        </w:rPr>
        <w:t xml:space="preserve">Au stade de l’ouverture des droits au </w:t>
      </w:r>
      <w:proofErr w:type="spellStart"/>
      <w:r w:rsidRPr="0070701C">
        <w:rPr>
          <w:rFonts w:ascii="Arial" w:eastAsia="Times New Roman" w:hAnsi="Arial" w:cs="Arial"/>
          <w:bCs/>
          <w:i/>
          <w:color w:val="000000"/>
          <w:sz w:val="24"/>
          <w:szCs w:val="24"/>
          <w:u w:val="single"/>
          <w:lang w:eastAsia="fr-FR"/>
        </w:rPr>
        <w:t>Rsa</w:t>
      </w:r>
      <w:proofErr w:type="spellEnd"/>
      <w:r w:rsidRPr="0070701C">
        <w:rPr>
          <w:rFonts w:ascii="Arial" w:eastAsia="Times New Roman" w:hAnsi="Arial" w:cs="Arial"/>
          <w:bCs/>
          <w:i/>
          <w:color w:val="000000"/>
          <w:sz w:val="24"/>
          <w:szCs w:val="24"/>
          <w:lang w:eastAsia="fr-FR"/>
        </w:rPr>
        <w:t xml:space="preserve">, faisant suite à l’obtention du statut de réfugié ou du bénéfice de la protection subsidiaire, il y a lieu de prendre en compte l’Ada, déduction faite de l’abattement équivalent au montant forfaitaire du </w:t>
      </w:r>
      <w:proofErr w:type="spellStart"/>
      <w:r w:rsidRPr="0070701C">
        <w:rPr>
          <w:rFonts w:ascii="Arial" w:eastAsia="Times New Roman" w:hAnsi="Arial" w:cs="Arial"/>
          <w:bCs/>
          <w:i/>
          <w:color w:val="000000"/>
          <w:sz w:val="24"/>
          <w:szCs w:val="24"/>
          <w:lang w:eastAsia="fr-FR"/>
        </w:rPr>
        <w:t>Rsa</w:t>
      </w:r>
      <w:proofErr w:type="spellEnd"/>
      <w:r w:rsidRPr="0070701C">
        <w:rPr>
          <w:rFonts w:ascii="Arial" w:eastAsia="Times New Roman" w:hAnsi="Arial" w:cs="Arial"/>
          <w:bCs/>
          <w:i/>
          <w:color w:val="000000"/>
          <w:sz w:val="24"/>
          <w:szCs w:val="24"/>
          <w:lang w:eastAsia="fr-FR"/>
        </w:rPr>
        <w:t xml:space="preserve"> pour une personne seule et ce, comme pour toute ressource (autre que revenu d’activité ou assimilé) ayant cessé d’être perçu et non compensé par un revenu de substitution. </w:t>
      </w:r>
    </w:p>
    <w:p w:rsidR="0070701C" w:rsidRPr="0070701C" w:rsidRDefault="0070701C" w:rsidP="0070701C">
      <w:p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70701C">
        <w:rPr>
          <w:rFonts w:ascii="Arial" w:eastAsia="Times New Roman" w:hAnsi="Arial" w:cs="Arial"/>
          <w:bCs/>
          <w:i/>
          <w:color w:val="000000"/>
          <w:sz w:val="24"/>
          <w:szCs w:val="24"/>
          <w:lang w:eastAsia="fr-FR"/>
        </w:rPr>
        <w:t> En effet, l’obtention du statut de réfugié met fin à la perception de l’Ada. Dans une majorité des cas, cela devrait conduire à ne pas tenir compte de l’ADA. Pour appliquer la mesure d’abattement, aucun justificatif, quel qu’il soit, concernant la fin de perception de l’Ada ne doit être exigé du demandeur ou de l’Agence de service et de paiement.</w:t>
      </w:r>
      <w:r w:rsidRPr="0070701C">
        <w:rPr>
          <w:rFonts w:ascii="Arial" w:eastAsia="Times New Roman" w:hAnsi="Arial" w:cs="Arial"/>
          <w:bCs/>
          <w:color w:val="000000"/>
          <w:sz w:val="24"/>
          <w:szCs w:val="24"/>
          <w:lang w:eastAsia="fr-FR"/>
        </w:rPr>
        <w:t> »</w:t>
      </w:r>
      <w:r w:rsidRPr="0070701C">
        <w:rPr>
          <w:rFonts w:ascii="Times New Roman" w:eastAsia="Times New Roman" w:hAnsi="Times New Roman" w:cs="Times New Roman"/>
          <w:sz w:val="24"/>
          <w:szCs w:val="24"/>
          <w:lang w:eastAsia="fr-FR"/>
        </w:rPr>
        <w:t xml:space="preserve"> </w:t>
      </w:r>
    </w:p>
    <w:p w:rsidR="0070701C" w:rsidRDefault="0070701C" w:rsidP="0070701C">
      <w:pPr>
        <w:spacing w:before="100" w:beforeAutospacing="1" w:after="100" w:afterAutospacing="1" w:line="240" w:lineRule="auto"/>
        <w:rPr>
          <w:rFonts w:ascii="Times New Roman" w:eastAsia="Times New Roman" w:hAnsi="Times New Roman" w:cs="Times New Roman"/>
          <w:sz w:val="24"/>
          <w:szCs w:val="24"/>
          <w:lang w:eastAsia="fr-FR"/>
        </w:rPr>
      </w:pPr>
      <w:r w:rsidRPr="0070701C">
        <w:rPr>
          <w:rFonts w:ascii="Times New Roman" w:eastAsia="Times New Roman" w:hAnsi="Times New Roman" w:cs="Times New Roman"/>
          <w:sz w:val="24"/>
          <w:szCs w:val="24"/>
          <w:lang w:eastAsia="fr-FR"/>
        </w:rPr>
        <w:t> </w:t>
      </w:r>
    </w:p>
    <w:p w:rsidR="00EF3F73" w:rsidRDefault="00EF3F73" w:rsidP="00A03824">
      <w:pPr>
        <w:spacing w:before="100" w:beforeAutospacing="1" w:after="100" w:afterAutospacing="1" w:line="240" w:lineRule="auto"/>
        <w:jc w:val="center"/>
        <w:rPr>
          <w:rFonts w:ascii="Times New Roman" w:eastAsia="Times New Roman" w:hAnsi="Times New Roman" w:cs="Times New Roman"/>
          <w:b/>
          <w:sz w:val="24"/>
          <w:szCs w:val="24"/>
          <w:lang w:eastAsia="fr-FR"/>
        </w:rPr>
      </w:pPr>
      <w:r w:rsidRPr="00A03824">
        <w:rPr>
          <w:rFonts w:ascii="Times New Roman" w:eastAsia="Times New Roman" w:hAnsi="Times New Roman" w:cs="Times New Roman"/>
          <w:b/>
          <w:sz w:val="24"/>
          <w:szCs w:val="24"/>
          <w:lang w:eastAsia="fr-FR"/>
        </w:rPr>
        <w:t>Textes de référence</w:t>
      </w:r>
    </w:p>
    <w:p w:rsidR="00A03824" w:rsidRPr="00A03824" w:rsidRDefault="00A03824" w:rsidP="00A03824">
      <w:pPr>
        <w:spacing w:before="100" w:beforeAutospacing="1" w:after="100" w:afterAutospacing="1" w:line="240" w:lineRule="auto"/>
        <w:jc w:val="center"/>
        <w:rPr>
          <w:rFonts w:ascii="Times New Roman" w:eastAsia="Times New Roman" w:hAnsi="Times New Roman" w:cs="Times New Roman"/>
          <w:b/>
          <w:sz w:val="24"/>
          <w:szCs w:val="24"/>
          <w:lang w:eastAsia="fr-FR"/>
        </w:rPr>
      </w:pPr>
    </w:p>
    <w:p w:rsidR="0070701C" w:rsidRPr="0070701C" w:rsidRDefault="0070701C" w:rsidP="0070701C">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fr-FR"/>
        </w:rPr>
      </w:pPr>
      <w:r w:rsidRPr="0070701C">
        <w:rPr>
          <w:rFonts w:ascii="Times New Roman" w:eastAsia="Times New Roman" w:hAnsi="Times New Roman" w:cs="Times New Roman"/>
          <w:sz w:val="24"/>
          <w:szCs w:val="24"/>
          <w:lang w:eastAsia="fr-FR"/>
        </w:rPr>
        <w:t>Article R262-13</w:t>
      </w:r>
      <w:r w:rsidR="00A03824">
        <w:rPr>
          <w:rFonts w:ascii="Times New Roman" w:eastAsia="Times New Roman" w:hAnsi="Times New Roman" w:cs="Times New Roman"/>
          <w:sz w:val="24"/>
          <w:szCs w:val="24"/>
          <w:lang w:eastAsia="fr-FR"/>
        </w:rPr>
        <w:t xml:space="preserve"> Code de l’action sociale et des familles (CASF)</w:t>
      </w:r>
    </w:p>
    <w:p w:rsidR="0070701C" w:rsidRPr="0070701C" w:rsidRDefault="0070701C" w:rsidP="0070701C">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fr-FR"/>
        </w:rPr>
      </w:pPr>
      <w:r w:rsidRPr="0070701C">
        <w:rPr>
          <w:rFonts w:ascii="Times New Roman" w:eastAsia="Times New Roman" w:hAnsi="Times New Roman" w:cs="Times New Roman"/>
          <w:sz w:val="24"/>
          <w:szCs w:val="24"/>
          <w:lang w:eastAsia="fr-FR"/>
        </w:rPr>
        <w:t xml:space="preserve">Modifié par </w:t>
      </w:r>
      <w:hyperlink r:id="rId6" w:anchor="LEGIARTI000034621314" w:history="1">
        <w:r w:rsidRPr="0070701C">
          <w:rPr>
            <w:rFonts w:ascii="Times New Roman" w:eastAsia="Times New Roman" w:hAnsi="Times New Roman" w:cs="Times New Roman"/>
            <w:color w:val="0000FF"/>
            <w:sz w:val="24"/>
            <w:szCs w:val="24"/>
            <w:u w:val="single"/>
            <w:lang w:eastAsia="fr-FR"/>
          </w:rPr>
          <w:t>Décret n°2017-826 du 5 mai 2017 - art. 3</w:t>
        </w:r>
      </w:hyperlink>
      <w:r w:rsidRPr="0070701C">
        <w:rPr>
          <w:rFonts w:ascii="Times New Roman" w:eastAsia="Times New Roman" w:hAnsi="Times New Roman" w:cs="Times New Roman"/>
          <w:sz w:val="24"/>
          <w:szCs w:val="24"/>
          <w:lang w:eastAsia="fr-FR"/>
        </w:rPr>
        <w:t xml:space="preserve"> </w:t>
      </w:r>
    </w:p>
    <w:p w:rsidR="0070701C" w:rsidRPr="0070701C" w:rsidRDefault="0070701C" w:rsidP="0070701C">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fr-FR"/>
        </w:rPr>
      </w:pPr>
      <w:r w:rsidRPr="0070701C">
        <w:rPr>
          <w:rFonts w:ascii="Times New Roman" w:eastAsia="Times New Roman" w:hAnsi="Times New Roman" w:cs="Times New Roman"/>
          <w:sz w:val="24"/>
          <w:szCs w:val="24"/>
          <w:lang w:eastAsia="fr-FR"/>
        </w:rPr>
        <w:t xml:space="preserve">Il n'est tenu compte ni des ressources ayant le caractère de revenus professionnels ou en tenant lieu mentionnées à l'article R. 262-12, ni des allocations aux travailleurs involontairement privés d'emploi mentionnées par les articles </w:t>
      </w:r>
      <w:hyperlink r:id="rId7" w:history="1">
        <w:r w:rsidRPr="0070701C">
          <w:rPr>
            <w:rFonts w:ascii="Times New Roman" w:eastAsia="Times New Roman" w:hAnsi="Times New Roman" w:cs="Times New Roman"/>
            <w:color w:val="0000FF"/>
            <w:sz w:val="24"/>
            <w:szCs w:val="24"/>
            <w:u w:val="single"/>
            <w:lang w:eastAsia="fr-FR"/>
          </w:rPr>
          <w:t>L. 5422-1</w:t>
        </w:r>
      </w:hyperlink>
      <w:r w:rsidRPr="0070701C">
        <w:rPr>
          <w:rFonts w:ascii="Times New Roman" w:eastAsia="Times New Roman" w:hAnsi="Times New Roman" w:cs="Times New Roman"/>
          <w:sz w:val="24"/>
          <w:szCs w:val="24"/>
          <w:lang w:eastAsia="fr-FR"/>
        </w:rPr>
        <w:t xml:space="preserve"> et </w:t>
      </w:r>
      <w:hyperlink r:id="rId8" w:history="1">
        <w:r w:rsidRPr="0070701C">
          <w:rPr>
            <w:rFonts w:ascii="Times New Roman" w:eastAsia="Times New Roman" w:hAnsi="Times New Roman" w:cs="Times New Roman"/>
            <w:color w:val="0000FF"/>
            <w:sz w:val="24"/>
            <w:szCs w:val="24"/>
            <w:u w:val="single"/>
            <w:lang w:eastAsia="fr-FR"/>
          </w:rPr>
          <w:t xml:space="preserve">L. 5423-1 </w:t>
        </w:r>
      </w:hyperlink>
      <w:r w:rsidRPr="0070701C">
        <w:rPr>
          <w:rFonts w:ascii="Times New Roman" w:eastAsia="Times New Roman" w:hAnsi="Times New Roman" w:cs="Times New Roman"/>
          <w:sz w:val="24"/>
          <w:szCs w:val="24"/>
          <w:lang w:eastAsia="fr-FR"/>
        </w:rPr>
        <w:t>du code du travail, lorsqu'il est justifié que la perception de ces revenus est interrompue de manière certaine et que l'intéressé ne peut prétendre à un revenu de substitution.</w:t>
      </w:r>
    </w:p>
    <w:p w:rsidR="0070701C" w:rsidRPr="0070701C" w:rsidRDefault="0070701C" w:rsidP="0070701C">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fr-FR"/>
        </w:rPr>
      </w:pPr>
      <w:r w:rsidRPr="0070701C">
        <w:rPr>
          <w:rFonts w:ascii="Times New Roman" w:eastAsia="Times New Roman" w:hAnsi="Times New Roman" w:cs="Times New Roman"/>
          <w:b/>
          <w:sz w:val="24"/>
          <w:szCs w:val="24"/>
          <w:lang w:eastAsia="fr-FR"/>
        </w:rPr>
        <w:t xml:space="preserve">Les autres ressources ne sont pas prises en compte, dans la limite mensuelle du montant forfaitaire mentionné à </w:t>
      </w:r>
      <w:hyperlink r:id="rId9" w:history="1">
        <w:r w:rsidRPr="0070701C">
          <w:rPr>
            <w:rFonts w:ascii="Times New Roman" w:eastAsia="Times New Roman" w:hAnsi="Times New Roman" w:cs="Times New Roman"/>
            <w:b/>
            <w:color w:val="0000FF"/>
            <w:sz w:val="24"/>
            <w:szCs w:val="24"/>
            <w:u w:val="single"/>
            <w:lang w:eastAsia="fr-FR"/>
          </w:rPr>
          <w:t xml:space="preserve">l'article L. 262-2 </w:t>
        </w:r>
      </w:hyperlink>
      <w:r w:rsidRPr="0070701C">
        <w:rPr>
          <w:rFonts w:ascii="Times New Roman" w:eastAsia="Times New Roman" w:hAnsi="Times New Roman" w:cs="Times New Roman"/>
          <w:b/>
          <w:sz w:val="24"/>
          <w:szCs w:val="24"/>
          <w:lang w:eastAsia="fr-FR"/>
        </w:rPr>
        <w:t>fixé pour un foyer composé d'une seule personne, lorsqu'il est justifié que leur perception est interrompue de manière certaine et que l'intéressé ne peut prétendre à un revenu de substitution</w:t>
      </w:r>
      <w:r w:rsidRPr="0070701C">
        <w:rPr>
          <w:rFonts w:ascii="Times New Roman" w:eastAsia="Times New Roman" w:hAnsi="Times New Roman" w:cs="Times New Roman"/>
          <w:sz w:val="24"/>
          <w:szCs w:val="24"/>
          <w:lang w:eastAsia="fr-FR"/>
        </w:rPr>
        <w:t>.</w:t>
      </w:r>
    </w:p>
    <w:p w:rsidR="0070701C" w:rsidRPr="0070701C" w:rsidRDefault="0070701C" w:rsidP="0070701C">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fr-FR"/>
        </w:rPr>
      </w:pPr>
      <w:r w:rsidRPr="0070701C">
        <w:rPr>
          <w:rFonts w:ascii="Times New Roman" w:eastAsia="Times New Roman" w:hAnsi="Times New Roman" w:cs="Times New Roman"/>
          <w:sz w:val="24"/>
          <w:szCs w:val="24"/>
          <w:lang w:eastAsia="fr-FR"/>
        </w:rPr>
        <w:t xml:space="preserve">Lorsque la perception des ressources mentionnées aux deux alinéas précédents est rétablie, celles-ci sont prises en compte pour le calcul du revenu de solidarité active à compter du réexamen périodique mentionné à l'article </w:t>
      </w:r>
      <w:hyperlink r:id="rId10" w:history="1">
        <w:r w:rsidRPr="0070701C">
          <w:rPr>
            <w:rFonts w:ascii="Times New Roman" w:eastAsia="Times New Roman" w:hAnsi="Times New Roman" w:cs="Times New Roman"/>
            <w:color w:val="0000FF"/>
            <w:sz w:val="24"/>
            <w:szCs w:val="24"/>
            <w:u w:val="single"/>
            <w:lang w:eastAsia="fr-FR"/>
          </w:rPr>
          <w:t>L. 262-21</w:t>
        </w:r>
      </w:hyperlink>
      <w:r w:rsidRPr="0070701C">
        <w:rPr>
          <w:rFonts w:ascii="Times New Roman" w:eastAsia="Times New Roman" w:hAnsi="Times New Roman" w:cs="Times New Roman"/>
          <w:sz w:val="24"/>
          <w:szCs w:val="24"/>
          <w:lang w:eastAsia="fr-FR"/>
        </w:rPr>
        <w:t xml:space="preserve"> suivant la reprise de perception desdites ressources.</w:t>
      </w:r>
    </w:p>
    <w:p w:rsidR="00EF3F73" w:rsidRDefault="0070701C" w:rsidP="00EF3F73">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hAnsi="Times New Roman"/>
        </w:rPr>
      </w:pPr>
      <w:r w:rsidRPr="0070701C">
        <w:rPr>
          <w:rFonts w:ascii="Times New Roman" w:eastAsia="Times New Roman" w:hAnsi="Times New Roman" w:cs="Times New Roman"/>
          <w:sz w:val="24"/>
          <w:szCs w:val="24"/>
          <w:lang w:eastAsia="fr-FR"/>
        </w:rPr>
        <w:t>Sur décision individuelle du président du conseil départemental au vu de la situation exceptionnelle du demandeur au regard de son insertion sociale et professionnelle, il n'est pas fait application des dispositions du premier alinéa lorsque l'interruption de la perception de ressources résulte d'une démission. </w:t>
      </w:r>
    </w:p>
    <w:p w:rsidR="00EF3F73" w:rsidRPr="00EF3F73" w:rsidRDefault="00EF3F73" w:rsidP="00EF3F73">
      <w:r>
        <w:br w:type="page"/>
      </w:r>
    </w:p>
    <w:p w:rsidR="00F110C5" w:rsidRPr="00A03824" w:rsidRDefault="00EF3F73" w:rsidP="00EF3F73">
      <w:pPr>
        <w:pBdr>
          <w:top w:val="single" w:sz="4" w:space="1" w:color="auto"/>
          <w:left w:val="single" w:sz="4" w:space="4" w:color="auto"/>
          <w:bottom w:val="single" w:sz="4" w:space="1" w:color="auto"/>
          <w:right w:val="single" w:sz="4" w:space="4" w:color="auto"/>
        </w:pBdr>
      </w:pPr>
      <w:r w:rsidRPr="00A03824">
        <w:lastRenderedPageBreak/>
        <w:t>Extrait du document « Suivi législatif RSA », CNAF, avril 2013, pages 60-61</w:t>
      </w:r>
      <w:r w:rsidR="00A03824" w:rsidRPr="00A03824">
        <w:t xml:space="preserve"> (téléchargeable </w:t>
      </w:r>
      <w:r w:rsidR="00A03824" w:rsidRPr="00A03824">
        <w:rPr>
          <w:rFonts w:eastAsia="Times New Roman" w:cs="Times New Roman"/>
          <w:lang w:eastAsia="fr-FR"/>
        </w:rPr>
        <w:t xml:space="preserve">sur </w:t>
      </w:r>
      <w:hyperlink r:id="rId11" w:history="1">
        <w:r w:rsidR="00A03824" w:rsidRPr="00A03824">
          <w:rPr>
            <w:rFonts w:eastAsia="Times New Roman" w:cs="Times New Roman"/>
            <w:color w:val="0000FF"/>
            <w:u w:val="single"/>
            <w:lang w:eastAsia="fr-FR"/>
          </w:rPr>
          <w:t>http://www.gisti.org/spip.php?article2420</w:t>
        </w:r>
      </w:hyperlink>
      <w:r w:rsidR="00A03824">
        <w:t>)</w:t>
      </w:r>
    </w:p>
    <w:p w:rsidR="00F110C5" w:rsidRPr="00EF3F73" w:rsidRDefault="00F110C5" w:rsidP="00EF3F73">
      <w:pPr>
        <w:pStyle w:val="Titre4"/>
        <w:pBdr>
          <w:top w:val="single" w:sz="4" w:space="1" w:color="auto"/>
          <w:left w:val="single" w:sz="4" w:space="4" w:color="auto"/>
          <w:bottom w:val="single" w:sz="4" w:space="1" w:color="auto"/>
          <w:right w:val="single" w:sz="4" w:space="4" w:color="auto"/>
        </w:pBdr>
      </w:pPr>
      <w:bookmarkStart w:id="1" w:name="_Toc280105199"/>
      <w:r w:rsidRPr="00EF3F73">
        <w:rPr>
          <w:b/>
        </w:rPr>
        <w:t>Abattement</w:t>
      </w:r>
      <w:bookmarkEnd w:id="1"/>
    </w:p>
    <w:p w:rsidR="00F110C5" w:rsidRPr="00EF3F73" w:rsidRDefault="00F110C5" w:rsidP="00EF3F73">
      <w:pPr>
        <w:pStyle w:val="Titre5"/>
        <w:numPr>
          <w:ilvl w:val="0"/>
          <w:numId w:val="0"/>
        </w:numPr>
        <w:pBdr>
          <w:top w:val="single" w:sz="4" w:space="1" w:color="auto"/>
          <w:left w:val="single" w:sz="4" w:space="4" w:color="auto"/>
          <w:bottom w:val="single" w:sz="4" w:space="1" w:color="auto"/>
          <w:right w:val="single" w:sz="4" w:space="4" w:color="auto"/>
        </w:pBdr>
        <w:spacing w:before="120" w:after="0"/>
        <w:ind w:left="993" w:hanging="993"/>
        <w:rPr>
          <w:b/>
        </w:rPr>
      </w:pPr>
      <w:bookmarkStart w:id="2" w:name="_Toc280105200"/>
      <w:r w:rsidRPr="00EF3F73">
        <w:rPr>
          <w:b/>
        </w:rPr>
        <w:t>Principe</w:t>
      </w:r>
      <w:bookmarkEnd w:id="2"/>
    </w:p>
    <w:p w:rsidR="00F110C5" w:rsidRPr="005A76F6" w:rsidRDefault="00F110C5" w:rsidP="00EF3F73">
      <w:pPr>
        <w:numPr>
          <w:ilvl w:val="0"/>
          <w:numId w:val="2"/>
        </w:numPr>
        <w:pBdr>
          <w:top w:val="single" w:sz="4" w:space="1" w:color="auto"/>
          <w:left w:val="single" w:sz="4" w:space="4" w:color="auto"/>
          <w:bottom w:val="single" w:sz="4" w:space="1" w:color="auto"/>
          <w:right w:val="single" w:sz="4" w:space="4" w:color="auto"/>
        </w:pBdr>
        <w:tabs>
          <w:tab w:val="clear" w:pos="360"/>
          <w:tab w:val="left" w:pos="284"/>
        </w:tabs>
        <w:spacing w:before="120" w:after="0" w:line="240" w:lineRule="auto"/>
        <w:ind w:left="284" w:hanging="284"/>
        <w:jc w:val="both"/>
      </w:pPr>
      <w:r w:rsidRPr="005A76F6">
        <w:t>Non prise en compte d’une partie des revenus du trimestre de référence autres que ceux visés au paragraphe</w:t>
      </w:r>
      <w:r>
        <w:t xml:space="preserve"> </w:t>
      </w:r>
      <w:r w:rsidR="00EF3F73" w:rsidRPr="005A76F6">
        <w:t>52</w:t>
      </w:r>
      <w:r w:rsidR="00EF3F73">
        <w:t>4</w:t>
      </w:r>
      <w:r w:rsidR="00EF3F73" w:rsidRPr="005A76F6">
        <w:t>3</w:t>
      </w:r>
      <w:r w:rsidR="00EF3F73">
        <w:t>3</w:t>
      </w:r>
      <w:r w:rsidR="00EF3F73" w:rsidRPr="00F110C5">
        <w:rPr>
          <w:i/>
        </w:rPr>
        <w:t xml:space="preserve"> </w:t>
      </w:r>
      <w:r w:rsidRPr="00F110C5">
        <w:rPr>
          <w:i/>
        </w:rPr>
        <w:t>[</w:t>
      </w:r>
      <w:r>
        <w:rPr>
          <w:i/>
        </w:rPr>
        <w:t xml:space="preserve">revenus qui font l’objet d’une neutralisation en cas de fin de perception </w:t>
      </w:r>
      <w:r w:rsidRPr="00F110C5">
        <w:rPr>
          <w:i/>
        </w:rPr>
        <w:t xml:space="preserve">= Salaires, Revenus de travailleur indépendant, Revenus d’apprenti, Rémunérations de stage, Rémunérations stagiaires du public, Indemnités journalières de Sécurité sociale quelle que soit leur nature ou leur durée de </w:t>
      </w:r>
      <w:r w:rsidRPr="00F110C5">
        <w:rPr>
          <w:rFonts w:cs="Arial"/>
          <w:i/>
        </w:rPr>
        <w:t xml:space="preserve">perception, Indemnités de chômage, Allocation formation reclassement, Allocation formation fin de stage </w:t>
      </w:r>
      <w:r w:rsidRPr="00F110C5">
        <w:rPr>
          <w:i/>
        </w:rPr>
        <w:t>ayant cessé d’être perçus et dont la fin de perception n’est pas compensée par un revenu de substitution]</w:t>
      </w:r>
      <w:r w:rsidRPr="005A76F6">
        <w:t>.</w:t>
      </w:r>
    </w:p>
    <w:p w:rsidR="00F110C5" w:rsidRPr="005A76F6" w:rsidRDefault="00F110C5" w:rsidP="00EF3F73">
      <w:pPr>
        <w:pBdr>
          <w:top w:val="single" w:sz="4" w:space="1" w:color="auto"/>
          <w:left w:val="single" w:sz="4" w:space="4" w:color="auto"/>
          <w:bottom w:val="single" w:sz="4" w:space="1" w:color="auto"/>
          <w:right w:val="single" w:sz="4" w:space="4" w:color="auto"/>
        </w:pBdr>
        <w:spacing w:before="120" w:after="0" w:line="240" w:lineRule="auto"/>
      </w:pPr>
      <w:r w:rsidRPr="005A76F6">
        <w:t>Cette non prise en compte s’applique dans la limite mensuelle d’une fois le montant forfaitaire de base non majoré prévu pour une personne isolée (y compris si la personne bénéficie du montant forfaitaire majoré).</w:t>
      </w:r>
    </w:p>
    <w:p w:rsidR="00F110C5" w:rsidRPr="005A76F6" w:rsidRDefault="00F110C5" w:rsidP="00EF3F73">
      <w:pPr>
        <w:pBdr>
          <w:top w:val="single" w:sz="4" w:space="1" w:color="auto"/>
          <w:left w:val="single" w:sz="4" w:space="4" w:color="auto"/>
          <w:bottom w:val="single" w:sz="4" w:space="1" w:color="auto"/>
          <w:right w:val="single" w:sz="4" w:space="4" w:color="auto"/>
        </w:pBdr>
        <w:spacing w:before="120" w:after="0" w:line="240" w:lineRule="auto"/>
      </w:pPr>
      <w:r w:rsidRPr="005A76F6">
        <w:t>Cet abattement est pratiqué automatiquement par l’organisme débiteur, sans décision Cg.</w:t>
      </w:r>
    </w:p>
    <w:p w:rsidR="00F110C5" w:rsidRPr="005A76F6" w:rsidRDefault="00F110C5" w:rsidP="00EF3F73">
      <w:pPr>
        <w:pBdr>
          <w:top w:val="single" w:sz="4" w:space="1" w:color="auto"/>
          <w:left w:val="single" w:sz="4" w:space="4" w:color="auto"/>
          <w:bottom w:val="single" w:sz="4" w:space="1" w:color="auto"/>
          <w:right w:val="single" w:sz="4" w:space="4" w:color="auto"/>
        </w:pBdr>
        <w:spacing w:before="120" w:after="0" w:line="240" w:lineRule="auto"/>
      </w:pPr>
      <w:r w:rsidRPr="005A76F6">
        <w:t>Cette mesure est applicable individuellement à chaque membre du foyer.</w:t>
      </w:r>
    </w:p>
    <w:p w:rsidR="00F110C5" w:rsidRPr="005A76F6" w:rsidRDefault="00F110C5" w:rsidP="00EF3F73">
      <w:pPr>
        <w:pBdr>
          <w:top w:val="single" w:sz="4" w:space="1" w:color="auto"/>
          <w:left w:val="single" w:sz="4" w:space="4" w:color="auto"/>
          <w:bottom w:val="single" w:sz="4" w:space="1" w:color="auto"/>
          <w:right w:val="single" w:sz="4" w:space="4" w:color="auto"/>
        </w:pBdr>
        <w:spacing w:before="120" w:after="0" w:line="240" w:lineRule="auto"/>
      </w:pPr>
      <w:proofErr w:type="gramStart"/>
      <w:r w:rsidRPr="005A76F6">
        <w:rPr>
          <w:rStyle w:val="AvertissementCarCarCarCarCar"/>
          <w:rFonts w:eastAsiaTheme="minorHAnsi"/>
        </w:rPr>
        <w:t>Remarques</w:t>
      </w:r>
      <w:proofErr w:type="gramEnd"/>
      <w:r w:rsidRPr="005A76F6">
        <w:t> :</w:t>
      </w:r>
    </w:p>
    <w:p w:rsidR="00F110C5" w:rsidRPr="005A76F6" w:rsidRDefault="00F110C5" w:rsidP="00EF3F73">
      <w:pPr>
        <w:pBdr>
          <w:top w:val="single" w:sz="4" w:space="1" w:color="auto"/>
          <w:left w:val="single" w:sz="4" w:space="4" w:color="auto"/>
          <w:bottom w:val="single" w:sz="4" w:space="1" w:color="auto"/>
          <w:right w:val="single" w:sz="4" w:space="4" w:color="auto"/>
        </w:pBdr>
        <w:tabs>
          <w:tab w:val="num" w:pos="284"/>
        </w:tabs>
        <w:spacing w:before="120" w:after="0" w:line="240" w:lineRule="auto"/>
        <w:ind w:left="284" w:hanging="284"/>
      </w:pPr>
      <w:r w:rsidRPr="005A76F6">
        <w:t>- Les prestations familiales ne constituent pas un revenu de substitution</w:t>
      </w:r>
    </w:p>
    <w:p w:rsidR="00F110C5" w:rsidRPr="005A76F6" w:rsidRDefault="00F110C5" w:rsidP="00EF3F73">
      <w:pPr>
        <w:pBdr>
          <w:top w:val="single" w:sz="4" w:space="1" w:color="auto"/>
          <w:left w:val="single" w:sz="4" w:space="4" w:color="auto"/>
          <w:bottom w:val="single" w:sz="4" w:space="1" w:color="auto"/>
          <w:right w:val="single" w:sz="4" w:space="4" w:color="auto"/>
        </w:pBdr>
        <w:spacing w:before="120" w:after="0" w:line="240" w:lineRule="auto"/>
      </w:pPr>
      <w:r w:rsidRPr="005A76F6">
        <w:t>- Pour un même bénéficiaire, possibilité d’application simultanée d’une mesure d’abattement et de la pente ou du cumul intégral.</w:t>
      </w:r>
    </w:p>
    <w:p w:rsidR="00F110C5" w:rsidRPr="005A76F6" w:rsidRDefault="00F110C5" w:rsidP="00EF3F73">
      <w:pPr>
        <w:pBdr>
          <w:top w:val="single" w:sz="4" w:space="1" w:color="auto"/>
          <w:left w:val="single" w:sz="4" w:space="4" w:color="auto"/>
          <w:bottom w:val="single" w:sz="4" w:space="1" w:color="auto"/>
          <w:right w:val="single" w:sz="4" w:space="4" w:color="auto"/>
        </w:pBdr>
        <w:spacing w:before="120" w:after="0" w:line="240" w:lineRule="auto"/>
      </w:pPr>
      <w:r w:rsidRPr="005A76F6">
        <w:t>- Pour un même bénéficiaire, possibilité d’application simultanée d’une mesure de neutralisation et d’une mesure d’abattement.</w:t>
      </w:r>
    </w:p>
    <w:p w:rsidR="00F110C5" w:rsidRPr="00EF3F73" w:rsidRDefault="00F110C5" w:rsidP="00EF3F73">
      <w:pPr>
        <w:pStyle w:val="Titre5"/>
        <w:numPr>
          <w:ilvl w:val="0"/>
          <w:numId w:val="0"/>
        </w:numPr>
        <w:pBdr>
          <w:top w:val="single" w:sz="4" w:space="1" w:color="auto"/>
          <w:left w:val="single" w:sz="4" w:space="4" w:color="auto"/>
          <w:bottom w:val="single" w:sz="4" w:space="1" w:color="auto"/>
          <w:right w:val="single" w:sz="4" w:space="4" w:color="auto"/>
        </w:pBdr>
        <w:spacing w:before="120" w:after="0"/>
        <w:ind w:left="993" w:hanging="993"/>
        <w:rPr>
          <w:b/>
        </w:rPr>
      </w:pPr>
      <w:bookmarkStart w:id="3" w:name="_Toc280105201"/>
      <w:r w:rsidRPr="00EF3F73">
        <w:rPr>
          <w:b/>
        </w:rPr>
        <w:t>Revenus concernés</w:t>
      </w:r>
      <w:bookmarkEnd w:id="3"/>
    </w:p>
    <w:p w:rsidR="00F110C5" w:rsidRPr="005A76F6" w:rsidRDefault="00F110C5" w:rsidP="00EF3F73">
      <w:pPr>
        <w:pBdr>
          <w:top w:val="single" w:sz="4" w:space="1" w:color="auto"/>
          <w:left w:val="single" w:sz="4" w:space="4" w:color="auto"/>
          <w:bottom w:val="single" w:sz="4" w:space="1" w:color="auto"/>
          <w:right w:val="single" w:sz="4" w:space="4" w:color="auto"/>
        </w:pBdr>
        <w:spacing w:before="120" w:after="0" w:line="240" w:lineRule="auto"/>
      </w:pPr>
      <w:r w:rsidRPr="005A76F6">
        <w:t xml:space="preserve">Autres que ceux visés au paragraphe </w:t>
      </w:r>
      <w:r w:rsidR="00EF3F73" w:rsidRPr="00F110C5">
        <w:rPr>
          <w:i/>
        </w:rPr>
        <w:t>[</w:t>
      </w:r>
      <w:r w:rsidR="00EF3F73">
        <w:rPr>
          <w:i/>
        </w:rPr>
        <w:t xml:space="preserve">revenus qui font l’objet d’une neutralisation en cas de fin de perception </w:t>
      </w:r>
      <w:r w:rsidR="00EF3F73" w:rsidRPr="00F110C5">
        <w:rPr>
          <w:i/>
        </w:rPr>
        <w:t xml:space="preserve">= Salaires, Revenus de travailleur indépendant, Revenus d’apprenti, Rémunérations de stage, Rémunérations stagiaires du public, Indemnités journalières de Sécurité sociale quelle que soit leur nature ou leur durée de </w:t>
      </w:r>
      <w:r w:rsidR="00EF3F73" w:rsidRPr="00F110C5">
        <w:rPr>
          <w:rFonts w:cs="Arial"/>
          <w:i/>
        </w:rPr>
        <w:t xml:space="preserve">perception, Indemnités de chômage, Allocation formation reclassement, Allocation formation fin de stage </w:t>
      </w:r>
      <w:r w:rsidR="00EF3F73" w:rsidRPr="00F110C5">
        <w:rPr>
          <w:i/>
        </w:rPr>
        <w:t>ayant cessé d’être perçus et dont la fin de perception n’est pas compensée par un revenu de substitution]</w:t>
      </w:r>
      <w:r>
        <w:t>.</w:t>
      </w:r>
    </w:p>
    <w:p w:rsidR="00F110C5" w:rsidRPr="00EF3F73" w:rsidRDefault="00F110C5" w:rsidP="00EF3F73">
      <w:pPr>
        <w:pStyle w:val="Titre5"/>
        <w:numPr>
          <w:ilvl w:val="0"/>
          <w:numId w:val="0"/>
        </w:numPr>
        <w:pBdr>
          <w:top w:val="single" w:sz="4" w:space="1" w:color="auto"/>
          <w:left w:val="single" w:sz="4" w:space="4" w:color="auto"/>
          <w:bottom w:val="single" w:sz="4" w:space="1" w:color="auto"/>
          <w:right w:val="single" w:sz="4" w:space="4" w:color="auto"/>
        </w:pBdr>
        <w:spacing w:before="120" w:after="0"/>
        <w:ind w:left="993" w:hanging="993"/>
        <w:rPr>
          <w:b/>
        </w:rPr>
      </w:pPr>
      <w:bookmarkStart w:id="4" w:name="_Toc280105202"/>
      <w:r w:rsidRPr="00EF3F73">
        <w:rPr>
          <w:b/>
        </w:rPr>
        <w:t>Dates d’effet</w:t>
      </w:r>
      <w:bookmarkEnd w:id="4"/>
    </w:p>
    <w:p w:rsidR="00F110C5" w:rsidRPr="005A76F6" w:rsidRDefault="00F110C5" w:rsidP="00EF3F73">
      <w:pPr>
        <w:pBdr>
          <w:top w:val="single" w:sz="4" w:space="1" w:color="auto"/>
          <w:left w:val="single" w:sz="4" w:space="4" w:color="auto"/>
          <w:bottom w:val="single" w:sz="4" w:space="1" w:color="auto"/>
          <w:right w:val="single" w:sz="4" w:space="4" w:color="auto"/>
        </w:pBdr>
        <w:spacing w:before="120" w:after="0" w:line="240" w:lineRule="auto"/>
      </w:pPr>
      <w:r w:rsidRPr="005A76F6">
        <w:t>La mesure d’abattement est applicable à compter du mois de fin de perception d’un revenu autres que ceux visés au paragraphe 52</w:t>
      </w:r>
      <w:r>
        <w:t>4</w:t>
      </w:r>
      <w:r w:rsidRPr="005A76F6">
        <w:t>3</w:t>
      </w:r>
      <w:r>
        <w:t>3</w:t>
      </w:r>
      <w:r w:rsidRPr="005A76F6">
        <w:t>, non compensé par un revenu de substitution.</w:t>
      </w:r>
    </w:p>
    <w:p w:rsidR="00F110C5" w:rsidRPr="005A76F6" w:rsidRDefault="00F110C5" w:rsidP="00EF3F73">
      <w:pPr>
        <w:pBdr>
          <w:top w:val="single" w:sz="4" w:space="1" w:color="auto"/>
          <w:left w:val="single" w:sz="4" w:space="4" w:color="auto"/>
          <w:bottom w:val="single" w:sz="4" w:space="1" w:color="auto"/>
          <w:right w:val="single" w:sz="4" w:space="4" w:color="auto"/>
        </w:pBdr>
        <w:spacing w:before="120" w:after="0" w:line="240" w:lineRule="auto"/>
      </w:pPr>
      <w:r w:rsidRPr="005A76F6">
        <w:rPr>
          <w:rStyle w:val="AvertissementCarCarCarCarCar"/>
          <w:rFonts w:eastAsiaTheme="minorHAnsi"/>
        </w:rPr>
        <w:t>Remarque</w:t>
      </w:r>
      <w:r w:rsidRPr="005A76F6">
        <w:t> :</w:t>
      </w:r>
    </w:p>
    <w:p w:rsidR="00F110C5" w:rsidRPr="005A76F6" w:rsidRDefault="00F110C5" w:rsidP="00EF3F73">
      <w:pPr>
        <w:pBdr>
          <w:top w:val="single" w:sz="4" w:space="1" w:color="auto"/>
          <w:left w:val="single" w:sz="4" w:space="4" w:color="auto"/>
          <w:bottom w:val="single" w:sz="4" w:space="1" w:color="auto"/>
          <w:right w:val="single" w:sz="4" w:space="4" w:color="auto"/>
        </w:pBdr>
        <w:spacing w:before="120" w:after="0" w:line="240" w:lineRule="auto"/>
      </w:pPr>
      <w:r w:rsidRPr="005A76F6">
        <w:t>En cas de fin de perception d’un revenu le dernier jour du mois, la mesure d’abattement s’applique à compter du 1</w:t>
      </w:r>
      <w:r w:rsidRPr="005A76F6">
        <w:rPr>
          <w:vertAlign w:val="superscript"/>
        </w:rPr>
        <w:t>er</w:t>
      </w:r>
      <w:r w:rsidRPr="005A76F6">
        <w:t xml:space="preserve"> jour du mois suivant la fin de perception sous réserve de l’absence de revenu de substitution sur ce mois.</w:t>
      </w:r>
    </w:p>
    <w:p w:rsidR="00EF3F73" w:rsidRDefault="00F110C5" w:rsidP="00A03824">
      <w:pPr>
        <w:pBdr>
          <w:top w:val="single" w:sz="4" w:space="1" w:color="auto"/>
          <w:left w:val="single" w:sz="4" w:space="4" w:color="auto"/>
          <w:bottom w:val="single" w:sz="4" w:space="1" w:color="auto"/>
          <w:right w:val="single" w:sz="4" w:space="4" w:color="auto"/>
        </w:pBdr>
        <w:spacing w:before="120" w:after="0" w:line="240" w:lineRule="auto"/>
      </w:pPr>
      <w:r w:rsidRPr="005A76F6">
        <w:t>La mesure d’abattement cesse à compter du mois suivant la perception d’un revenu de substitution.</w:t>
      </w:r>
    </w:p>
    <w:sectPr w:rsidR="00EF3F73" w:rsidSect="00E403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optima">
    <w:altName w:val="Arial"/>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D1655"/>
    <w:multiLevelType w:val="multilevel"/>
    <w:tmpl w:val="F44207E0"/>
    <w:lvl w:ilvl="0">
      <w:start w:val="1"/>
      <w:numFmt w:val="decimal"/>
      <w:pStyle w:val="Titre1"/>
      <w:lvlText w:val="%1 - "/>
      <w:lvlJc w:val="left"/>
      <w:pPr>
        <w:tabs>
          <w:tab w:val="num" w:pos="0"/>
        </w:tabs>
        <w:ind w:left="425" w:hanging="425"/>
      </w:pPr>
      <w:rPr>
        <w:rFonts w:ascii="Loptima" w:hAnsi="Loptima" w:hint="default"/>
        <w:b/>
        <w:i w:val="0"/>
        <w:sz w:val="36"/>
      </w:rPr>
    </w:lvl>
    <w:lvl w:ilvl="1">
      <w:start w:val="1"/>
      <w:numFmt w:val="decimal"/>
      <w:pStyle w:val="Titre2"/>
      <w:lvlText w:val="%1%2 - "/>
      <w:lvlJc w:val="left"/>
      <w:pPr>
        <w:tabs>
          <w:tab w:val="num" w:pos="-283"/>
        </w:tabs>
        <w:ind w:left="851" w:hanging="709"/>
      </w:pPr>
      <w:rPr>
        <w:rFonts w:hint="default"/>
        <w:color w:val="auto"/>
      </w:rPr>
    </w:lvl>
    <w:lvl w:ilvl="2">
      <w:start w:val="1"/>
      <w:numFmt w:val="decimal"/>
      <w:pStyle w:val="Titre3"/>
      <w:lvlText w:val="%1%2%3 - "/>
      <w:lvlJc w:val="left"/>
      <w:pPr>
        <w:tabs>
          <w:tab w:val="num" w:pos="-1134"/>
        </w:tabs>
        <w:ind w:left="851" w:hanging="851"/>
      </w:pPr>
      <w:rPr>
        <w:rFonts w:hint="default"/>
      </w:rPr>
    </w:lvl>
    <w:lvl w:ilvl="3">
      <w:start w:val="1"/>
      <w:numFmt w:val="decimal"/>
      <w:lvlText w:val="%1%2%3%4 - "/>
      <w:lvlJc w:val="left"/>
      <w:pPr>
        <w:tabs>
          <w:tab w:val="num" w:pos="-425"/>
        </w:tabs>
        <w:ind w:left="2411" w:hanging="851"/>
      </w:pPr>
      <w:rPr>
        <w:rFonts w:hint="default"/>
        <w:dstrike w:val="0"/>
        <w:color w:val="auto"/>
      </w:rPr>
    </w:lvl>
    <w:lvl w:ilvl="4">
      <w:start w:val="1"/>
      <w:numFmt w:val="decimal"/>
      <w:pStyle w:val="Titre5"/>
      <w:lvlText w:val="%1%2%3%4%5 - "/>
      <w:lvlJc w:val="left"/>
      <w:pPr>
        <w:tabs>
          <w:tab w:val="num" w:pos="-425"/>
        </w:tabs>
        <w:ind w:left="2836" w:hanging="992"/>
      </w:pPr>
      <w:rPr>
        <w:rFonts w:hint="default"/>
      </w:rPr>
    </w:lvl>
    <w:lvl w:ilvl="5">
      <w:start w:val="1"/>
      <w:numFmt w:val="decimal"/>
      <w:pStyle w:val="Titre6"/>
      <w:lvlText w:val="%1%2%3%4%5%6 - "/>
      <w:lvlJc w:val="left"/>
      <w:pPr>
        <w:tabs>
          <w:tab w:val="num" w:pos="-425"/>
        </w:tabs>
        <w:ind w:left="3261" w:hanging="992"/>
      </w:pPr>
      <w:rPr>
        <w:rFonts w:hint="default"/>
      </w:rPr>
    </w:lvl>
    <w:lvl w:ilvl="6">
      <w:start w:val="1"/>
      <w:numFmt w:val="decimal"/>
      <w:pStyle w:val="Titre7"/>
      <w:lvlText w:val="%1%2%3%4%5%6%7 - "/>
      <w:lvlJc w:val="left"/>
      <w:pPr>
        <w:tabs>
          <w:tab w:val="num" w:pos="-425"/>
        </w:tabs>
        <w:ind w:left="3686" w:hanging="1276"/>
      </w:pPr>
      <w:rPr>
        <w:rFonts w:hint="default"/>
      </w:rPr>
    </w:lvl>
    <w:lvl w:ilvl="7">
      <w:start w:val="1"/>
      <w:numFmt w:val="decimal"/>
      <w:pStyle w:val="Titre8"/>
      <w:lvlText w:val="%1%2%3%4%5%6%7%8 - "/>
      <w:lvlJc w:val="left"/>
      <w:pPr>
        <w:tabs>
          <w:tab w:val="num" w:pos="-5736"/>
        </w:tabs>
        <w:ind w:left="1068" w:hanging="708"/>
      </w:pPr>
      <w:rPr>
        <w:rFonts w:hint="default"/>
      </w:rPr>
    </w:lvl>
    <w:lvl w:ilvl="8">
      <w:start w:val="1"/>
      <w:numFmt w:val="decimal"/>
      <w:lvlText w:val="%1-%2%3%4%5%6%7%8.%9."/>
      <w:lvlJc w:val="left"/>
      <w:pPr>
        <w:tabs>
          <w:tab w:val="num" w:pos="-425"/>
        </w:tabs>
        <w:ind w:left="7087" w:hanging="708"/>
      </w:pPr>
      <w:rPr>
        <w:rFonts w:hint="default"/>
      </w:rPr>
    </w:lvl>
  </w:abstractNum>
  <w:abstractNum w:abstractNumId="1" w15:restartNumberingAfterBreak="0">
    <w:nsid w:val="50A05BE1"/>
    <w:multiLevelType w:val="hybridMultilevel"/>
    <w:tmpl w:val="FB56BCF4"/>
    <w:lvl w:ilvl="0" w:tplc="76FE8210">
      <w:start w:val="1"/>
      <w:numFmt w:val="bullet"/>
      <w:lvlText w:val="-"/>
      <w:lvlJc w:val="left"/>
      <w:pPr>
        <w:tabs>
          <w:tab w:val="num" w:pos="360"/>
        </w:tabs>
        <w:ind w:left="360" w:hanging="360"/>
      </w:pPr>
      <w:rPr>
        <w:rFonts w:ascii="Times New Roman" w:hAnsi="Times New Roman"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1C"/>
    <w:rsid w:val="00034A99"/>
    <w:rsid w:val="00193106"/>
    <w:rsid w:val="0070701C"/>
    <w:rsid w:val="00A03824"/>
    <w:rsid w:val="00DE5BC5"/>
    <w:rsid w:val="00E40336"/>
    <w:rsid w:val="00EC73A1"/>
    <w:rsid w:val="00EF3F73"/>
    <w:rsid w:val="00F110C5"/>
    <w:rsid w:val="00F76E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56EAF-7DE9-46C7-8107-716B1E24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336"/>
  </w:style>
  <w:style w:type="paragraph" w:styleId="Titre1">
    <w:name w:val="heading 1"/>
    <w:basedOn w:val="Normal"/>
    <w:next w:val="Normal"/>
    <w:link w:val="Titre1Car"/>
    <w:qFormat/>
    <w:rsid w:val="00F110C5"/>
    <w:pPr>
      <w:keepNext/>
      <w:pageBreakBefore/>
      <w:numPr>
        <w:numId w:val="1"/>
      </w:numPr>
      <w:tabs>
        <w:tab w:val="num" w:pos="1134"/>
      </w:tabs>
      <w:spacing w:before="240" w:after="240" w:line="240" w:lineRule="auto"/>
      <w:outlineLvl w:val="0"/>
    </w:pPr>
    <w:rPr>
      <w:rFonts w:ascii="Arial" w:eastAsia="Times New Roman" w:hAnsi="Arial" w:cs="Arial"/>
      <w:b/>
      <w:bCs/>
      <w:caps/>
      <w:kern w:val="28"/>
      <w:sz w:val="28"/>
      <w:szCs w:val="28"/>
      <w:lang w:eastAsia="fr-FR"/>
    </w:rPr>
  </w:style>
  <w:style w:type="paragraph" w:styleId="Titre2">
    <w:name w:val="heading 2"/>
    <w:basedOn w:val="Normal"/>
    <w:next w:val="Normal"/>
    <w:link w:val="Titre2Car"/>
    <w:qFormat/>
    <w:rsid w:val="00F110C5"/>
    <w:pPr>
      <w:keepNext/>
      <w:numPr>
        <w:ilvl w:val="1"/>
        <w:numId w:val="1"/>
      </w:numPr>
      <w:spacing w:before="240" w:after="240" w:line="240" w:lineRule="auto"/>
      <w:outlineLvl w:val="1"/>
    </w:pPr>
    <w:rPr>
      <w:rFonts w:ascii="Arial" w:eastAsia="Times New Roman" w:hAnsi="Arial" w:cs="Times New Roman"/>
      <w:b/>
      <w:bCs/>
      <w:smallCaps/>
      <w:sz w:val="24"/>
      <w:szCs w:val="24"/>
      <w:lang w:eastAsia="fr-FR"/>
    </w:rPr>
  </w:style>
  <w:style w:type="paragraph" w:styleId="Titre3">
    <w:name w:val="heading 3"/>
    <w:aliases w:val="Titre 3 Car Car Car"/>
    <w:basedOn w:val="Normal"/>
    <w:next w:val="Normal"/>
    <w:link w:val="Titre3Car"/>
    <w:qFormat/>
    <w:rsid w:val="00F110C5"/>
    <w:pPr>
      <w:keepNext/>
      <w:numPr>
        <w:ilvl w:val="2"/>
        <w:numId w:val="1"/>
      </w:numPr>
      <w:spacing w:before="240" w:after="240" w:line="240" w:lineRule="auto"/>
      <w:jc w:val="both"/>
      <w:outlineLvl w:val="2"/>
    </w:pPr>
    <w:rPr>
      <w:rFonts w:ascii="Arial" w:eastAsia="Times New Roman" w:hAnsi="Arial" w:cs="Times New Roman"/>
      <w:b/>
      <w:bCs/>
      <w:i/>
      <w:iCs/>
      <w:sz w:val="24"/>
      <w:szCs w:val="24"/>
      <w:lang w:eastAsia="fr-FR"/>
    </w:rPr>
  </w:style>
  <w:style w:type="paragraph" w:styleId="Titre4">
    <w:name w:val="heading 4"/>
    <w:aliases w:val="Titre 4 Car Car Car"/>
    <w:basedOn w:val="Normal"/>
    <w:next w:val="Normal"/>
    <w:link w:val="Titre4Car"/>
    <w:autoRedefine/>
    <w:qFormat/>
    <w:rsid w:val="00EF3F73"/>
    <w:pPr>
      <w:widowControl w:val="0"/>
      <w:spacing w:before="120" w:after="0" w:line="240" w:lineRule="auto"/>
      <w:ind w:left="851" w:hanging="851"/>
      <w:jc w:val="center"/>
      <w:outlineLvl w:val="3"/>
    </w:pPr>
    <w:rPr>
      <w:rFonts w:ascii="Arial" w:eastAsia="Times New Roman" w:hAnsi="Arial" w:cs="Times New Roman"/>
      <w:iCs/>
      <w:sz w:val="24"/>
      <w:szCs w:val="24"/>
      <w:lang w:eastAsia="fr-FR"/>
    </w:rPr>
  </w:style>
  <w:style w:type="paragraph" w:styleId="Titre5">
    <w:name w:val="heading 5"/>
    <w:aliases w:val="Titre 5 Car Car Car"/>
    <w:basedOn w:val="Normal"/>
    <w:next w:val="Normal"/>
    <w:link w:val="Titre5Car"/>
    <w:qFormat/>
    <w:rsid w:val="00F110C5"/>
    <w:pPr>
      <w:numPr>
        <w:ilvl w:val="4"/>
        <w:numId w:val="1"/>
      </w:numPr>
      <w:tabs>
        <w:tab w:val="clear" w:pos="-425"/>
        <w:tab w:val="num" w:pos="993"/>
      </w:tabs>
      <w:spacing w:before="240" w:after="240" w:line="240" w:lineRule="auto"/>
      <w:ind w:left="993" w:hanging="993"/>
      <w:jc w:val="both"/>
      <w:outlineLvl w:val="4"/>
    </w:pPr>
    <w:rPr>
      <w:rFonts w:ascii="Arial" w:eastAsia="Times New Roman" w:hAnsi="Arial" w:cs="Arial"/>
      <w:sz w:val="24"/>
      <w:szCs w:val="24"/>
      <w:lang w:eastAsia="fr-FR"/>
    </w:rPr>
  </w:style>
  <w:style w:type="paragraph" w:styleId="Titre6">
    <w:name w:val="heading 6"/>
    <w:basedOn w:val="Normal"/>
    <w:next w:val="Normal"/>
    <w:link w:val="Titre6Car"/>
    <w:qFormat/>
    <w:rsid w:val="00F110C5"/>
    <w:pPr>
      <w:numPr>
        <w:ilvl w:val="5"/>
        <w:numId w:val="1"/>
      </w:numPr>
      <w:tabs>
        <w:tab w:val="clear" w:pos="-425"/>
        <w:tab w:val="num" w:pos="1134"/>
      </w:tabs>
      <w:spacing w:before="240" w:after="240" w:line="240" w:lineRule="auto"/>
      <w:ind w:left="0" w:firstLine="0"/>
      <w:outlineLvl w:val="5"/>
    </w:pPr>
    <w:rPr>
      <w:rFonts w:ascii="Arial" w:eastAsia="Times New Roman" w:hAnsi="Arial" w:cs="Times New Roman"/>
      <w:bCs/>
      <w:i/>
      <w:iCs/>
      <w:sz w:val="24"/>
      <w:szCs w:val="24"/>
      <w:lang w:eastAsia="fr-FR"/>
    </w:rPr>
  </w:style>
  <w:style w:type="paragraph" w:styleId="Titre7">
    <w:name w:val="heading 7"/>
    <w:basedOn w:val="Normal"/>
    <w:next w:val="Normal"/>
    <w:link w:val="Titre7Car"/>
    <w:qFormat/>
    <w:rsid w:val="00F110C5"/>
    <w:pPr>
      <w:numPr>
        <w:ilvl w:val="6"/>
        <w:numId w:val="1"/>
      </w:numPr>
      <w:tabs>
        <w:tab w:val="clear" w:pos="-425"/>
        <w:tab w:val="num" w:pos="360"/>
      </w:tabs>
      <w:spacing w:before="240" w:after="240" w:line="240" w:lineRule="auto"/>
      <w:ind w:left="0" w:firstLine="0"/>
      <w:outlineLvl w:val="6"/>
    </w:pPr>
    <w:rPr>
      <w:rFonts w:ascii="Arial" w:eastAsia="Times New Roman" w:hAnsi="Arial" w:cs="Times New Roman"/>
      <w:b/>
      <w:bCs/>
      <w:lang w:eastAsia="fr-FR"/>
    </w:rPr>
  </w:style>
  <w:style w:type="paragraph" w:styleId="Titre8">
    <w:name w:val="heading 8"/>
    <w:basedOn w:val="Normal"/>
    <w:next w:val="Normal"/>
    <w:link w:val="Titre8Car"/>
    <w:qFormat/>
    <w:rsid w:val="00F110C5"/>
    <w:pPr>
      <w:numPr>
        <w:ilvl w:val="7"/>
        <w:numId w:val="1"/>
      </w:numPr>
      <w:tabs>
        <w:tab w:val="clear" w:pos="-5736"/>
        <w:tab w:val="num" w:pos="360"/>
      </w:tabs>
      <w:spacing w:before="240" w:after="60" w:line="240" w:lineRule="auto"/>
      <w:ind w:left="0" w:firstLine="0"/>
      <w:jc w:val="both"/>
      <w:outlineLvl w:val="7"/>
    </w:pPr>
    <w:rPr>
      <w:rFonts w:ascii="Arial" w:eastAsia="Times New Roman" w:hAnsi="Arial" w:cs="Arial"/>
      <w:b/>
      <w:bCs/>
      <w:i/>
      <w:i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0701C"/>
    <w:rPr>
      <w:color w:val="0000FF"/>
      <w:u w:val="single"/>
    </w:rPr>
  </w:style>
  <w:style w:type="paragraph" w:styleId="Paragraphedeliste">
    <w:name w:val="List Paragraph"/>
    <w:basedOn w:val="Normal"/>
    <w:uiPriority w:val="34"/>
    <w:qFormat/>
    <w:rsid w:val="007070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7070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F110C5"/>
    <w:rPr>
      <w:rFonts w:ascii="Arial" w:eastAsia="Times New Roman" w:hAnsi="Arial" w:cs="Arial"/>
      <w:b/>
      <w:bCs/>
      <w:caps/>
      <w:kern w:val="28"/>
      <w:sz w:val="28"/>
      <w:szCs w:val="28"/>
      <w:lang w:eastAsia="fr-FR"/>
    </w:rPr>
  </w:style>
  <w:style w:type="character" w:customStyle="1" w:styleId="Titre2Car">
    <w:name w:val="Titre 2 Car"/>
    <w:basedOn w:val="Policepardfaut"/>
    <w:link w:val="Titre2"/>
    <w:rsid w:val="00F110C5"/>
    <w:rPr>
      <w:rFonts w:ascii="Arial" w:eastAsia="Times New Roman" w:hAnsi="Arial" w:cs="Times New Roman"/>
      <w:b/>
      <w:bCs/>
      <w:smallCaps/>
      <w:sz w:val="24"/>
      <w:szCs w:val="24"/>
      <w:lang w:eastAsia="fr-FR"/>
    </w:rPr>
  </w:style>
  <w:style w:type="character" w:customStyle="1" w:styleId="Titre3Car">
    <w:name w:val="Titre 3 Car"/>
    <w:aliases w:val="Titre 3 Car Car Car Car"/>
    <w:basedOn w:val="Policepardfaut"/>
    <w:link w:val="Titre3"/>
    <w:rsid w:val="00F110C5"/>
    <w:rPr>
      <w:rFonts w:ascii="Arial" w:eastAsia="Times New Roman" w:hAnsi="Arial" w:cs="Times New Roman"/>
      <w:b/>
      <w:bCs/>
      <w:i/>
      <w:iCs/>
      <w:sz w:val="24"/>
      <w:szCs w:val="24"/>
      <w:lang w:eastAsia="fr-FR"/>
    </w:rPr>
  </w:style>
  <w:style w:type="character" w:customStyle="1" w:styleId="Titre4Car">
    <w:name w:val="Titre 4 Car"/>
    <w:aliases w:val="Titre 4 Car Car Car Car"/>
    <w:basedOn w:val="Policepardfaut"/>
    <w:link w:val="Titre4"/>
    <w:rsid w:val="00EF3F73"/>
    <w:rPr>
      <w:rFonts w:ascii="Arial" w:eastAsia="Times New Roman" w:hAnsi="Arial" w:cs="Times New Roman"/>
      <w:iCs/>
      <w:sz w:val="24"/>
      <w:szCs w:val="24"/>
      <w:lang w:eastAsia="fr-FR"/>
    </w:rPr>
  </w:style>
  <w:style w:type="character" w:customStyle="1" w:styleId="Titre5Car">
    <w:name w:val="Titre 5 Car"/>
    <w:aliases w:val="Titre 5 Car Car Car Car"/>
    <w:basedOn w:val="Policepardfaut"/>
    <w:link w:val="Titre5"/>
    <w:rsid w:val="00F110C5"/>
    <w:rPr>
      <w:rFonts w:ascii="Arial" w:eastAsia="Times New Roman" w:hAnsi="Arial" w:cs="Arial"/>
      <w:sz w:val="24"/>
      <w:szCs w:val="24"/>
      <w:lang w:eastAsia="fr-FR"/>
    </w:rPr>
  </w:style>
  <w:style w:type="character" w:customStyle="1" w:styleId="Titre6Car">
    <w:name w:val="Titre 6 Car"/>
    <w:basedOn w:val="Policepardfaut"/>
    <w:link w:val="Titre6"/>
    <w:rsid w:val="00F110C5"/>
    <w:rPr>
      <w:rFonts w:ascii="Arial" w:eastAsia="Times New Roman" w:hAnsi="Arial" w:cs="Times New Roman"/>
      <w:bCs/>
      <w:i/>
      <w:iCs/>
      <w:sz w:val="24"/>
      <w:szCs w:val="24"/>
      <w:lang w:eastAsia="fr-FR"/>
    </w:rPr>
  </w:style>
  <w:style w:type="character" w:customStyle="1" w:styleId="Titre7Car">
    <w:name w:val="Titre 7 Car"/>
    <w:basedOn w:val="Policepardfaut"/>
    <w:link w:val="Titre7"/>
    <w:rsid w:val="00F110C5"/>
    <w:rPr>
      <w:rFonts w:ascii="Arial" w:eastAsia="Times New Roman" w:hAnsi="Arial" w:cs="Times New Roman"/>
      <w:b/>
      <w:bCs/>
      <w:lang w:eastAsia="fr-FR"/>
    </w:rPr>
  </w:style>
  <w:style w:type="character" w:customStyle="1" w:styleId="Titre8Car">
    <w:name w:val="Titre 8 Car"/>
    <w:basedOn w:val="Policepardfaut"/>
    <w:link w:val="Titre8"/>
    <w:rsid w:val="00F110C5"/>
    <w:rPr>
      <w:rFonts w:ascii="Arial" w:eastAsia="Times New Roman" w:hAnsi="Arial" w:cs="Arial"/>
      <w:b/>
      <w:bCs/>
      <w:i/>
      <w:iCs/>
      <w:lang w:eastAsia="fr-FR"/>
    </w:rPr>
  </w:style>
  <w:style w:type="paragraph" w:customStyle="1" w:styleId="CarCarCarCarCar">
    <w:name w:val="Car Car Car Car Car"/>
    <w:basedOn w:val="Normal"/>
    <w:rsid w:val="00F110C5"/>
    <w:pPr>
      <w:spacing w:before="120" w:after="160" w:line="240" w:lineRule="exact"/>
    </w:pPr>
    <w:rPr>
      <w:rFonts w:ascii="Tahoma" w:eastAsia="Times New Roman" w:hAnsi="Tahoma" w:cs="Times New Roman"/>
      <w:sz w:val="18"/>
      <w:szCs w:val="20"/>
      <w:lang w:val="en-US"/>
    </w:rPr>
  </w:style>
  <w:style w:type="paragraph" w:customStyle="1" w:styleId="AvertissementCarCarCarCar">
    <w:name w:val="Avertissement Car Car Car Car"/>
    <w:basedOn w:val="Normal"/>
    <w:link w:val="AvertissementCarCarCarCarCar"/>
    <w:autoRedefine/>
    <w:rsid w:val="00F110C5"/>
    <w:pPr>
      <w:numPr>
        <w:ilvl w:val="12"/>
      </w:numPr>
      <w:spacing w:after="240" w:line="240" w:lineRule="auto"/>
      <w:jc w:val="both"/>
    </w:pPr>
    <w:rPr>
      <w:rFonts w:ascii="Arial" w:eastAsia="Times New Roman" w:hAnsi="Arial" w:cs="Times New Roman"/>
      <w:b/>
      <w:bCs/>
      <w:lang w:eastAsia="fr-FR"/>
    </w:rPr>
  </w:style>
  <w:style w:type="character" w:customStyle="1" w:styleId="AvertissementCarCarCarCarCar">
    <w:name w:val="Avertissement Car Car Car Car Car"/>
    <w:link w:val="AvertissementCarCarCarCar"/>
    <w:rsid w:val="00F110C5"/>
    <w:rPr>
      <w:rFonts w:ascii="Arial" w:eastAsia="Times New Roman" w:hAnsi="Arial" w:cs="Times New Roman"/>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73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2050&amp;idArticle=LEGIARTI000006903847&amp;dateTexte=&amp;categorieLien=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france.gouv.fr/affichCodeArticle.do?cidTexte=LEGITEXT000006072050&amp;idArticle=LEGIARTI000006903823&amp;dateTexte=&amp;categorieLien=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affichTexteArticle.do;jsessionid=891D4068004F69C56247C85CD1579041.tplgfr36s_3?cidTexte=JORFTEXT000034603502&amp;idArticle=LEGIARTI000034621314&amp;dateTexte=20171122&amp;categorieLien=id" TargetMode="External"/><Relationship Id="rId11" Type="http://schemas.openxmlformats.org/officeDocument/2006/relationships/hyperlink" Target="http://www.gisti.org/spip.php?article2420" TargetMode="External"/><Relationship Id="rId5" Type="http://schemas.openxmlformats.org/officeDocument/2006/relationships/hyperlink" Target="https://www.legifrance.gouv.fr/affichCodeArticle.do?cidTexte=LEGITEXT000006074069&amp;idArticle=LEGIARTI000006797175&amp;dateTexte=&amp;categorieLien=cid" TargetMode="External"/><Relationship Id="rId10" Type="http://schemas.openxmlformats.org/officeDocument/2006/relationships/hyperlink" Target="https://www.legifrance.gouv.fr/affichCodeArticle.do?cidTexte=LEGITEXT000006074069&amp;idArticle=LEGIARTI000006906151&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4069&amp;idArticle=LEGIARTI000006797175&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1452</Words>
  <Characters>7992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Antoine Math</cp:lastModifiedBy>
  <cp:revision>2</cp:revision>
  <dcterms:created xsi:type="dcterms:W3CDTF">2017-11-29T09:22:00Z</dcterms:created>
  <dcterms:modified xsi:type="dcterms:W3CDTF">2017-11-29T09:22:00Z</dcterms:modified>
</cp:coreProperties>
</file>