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16" w:rsidRPr="006321F4" w:rsidRDefault="00E07B16" w:rsidP="00E07B16">
      <w:pPr>
        <w:spacing w:line="276" w:lineRule="auto"/>
        <w:ind w:right="72"/>
        <w:jc w:val="both"/>
        <w:rPr>
          <w:rFonts w:cs="Arial"/>
          <w:szCs w:val="22"/>
        </w:rPr>
      </w:pPr>
      <w:proofErr w:type="gramStart"/>
      <w:r w:rsidRPr="006321F4">
        <w:rPr>
          <w:rFonts w:cs="Arial"/>
          <w:szCs w:val="22"/>
        </w:rPr>
        <w:t>dans</w:t>
      </w:r>
      <w:proofErr w:type="gramEnd"/>
      <w:r w:rsidRPr="006321F4">
        <w:rPr>
          <w:rFonts w:cs="Arial"/>
          <w:szCs w:val="22"/>
        </w:rPr>
        <w:t xml:space="preserve"> le courrier adressé au réclamant le 2 août 201</w:t>
      </w:r>
      <w:r>
        <w:rPr>
          <w:rFonts w:cs="Arial"/>
          <w:szCs w:val="22"/>
        </w:rPr>
        <w:t>8</w:t>
      </w:r>
      <w:r w:rsidRPr="006321F4">
        <w:rPr>
          <w:rFonts w:cs="Arial"/>
          <w:szCs w:val="22"/>
        </w:rPr>
        <w:t>, vous indiquiez que ses droits RSA cessaient depuis le mois de mai 201</w:t>
      </w:r>
      <w:r>
        <w:rPr>
          <w:rFonts w:cs="Arial"/>
          <w:szCs w:val="22"/>
        </w:rPr>
        <w:t>8</w:t>
      </w:r>
      <w:r w:rsidRPr="006321F4">
        <w:rPr>
          <w:rFonts w:cs="Arial"/>
          <w:szCs w:val="22"/>
        </w:rPr>
        <w:t>, et trois mois plus tard, vous l’informiez du changement de ses droits à compter du 1er décembre 201</w:t>
      </w:r>
      <w:r>
        <w:rPr>
          <w:rFonts w:cs="Arial"/>
          <w:szCs w:val="22"/>
        </w:rPr>
        <w:t>6</w:t>
      </w:r>
      <w:r w:rsidRPr="006321F4">
        <w:rPr>
          <w:rFonts w:cs="Arial"/>
          <w:szCs w:val="22"/>
        </w:rPr>
        <w:t xml:space="preserve"> et lui réclamiez le remboursement de</w:t>
      </w:r>
      <w:r w:rsidRPr="006321F4">
        <w:rPr>
          <w:rFonts w:eastAsiaTheme="minorHAnsi" w:cs="Arial"/>
          <w:szCs w:val="22"/>
        </w:rPr>
        <w:t xml:space="preserve">s sommes </w:t>
      </w:r>
      <w:proofErr w:type="spellStart"/>
      <w:r w:rsidRPr="006321F4">
        <w:rPr>
          <w:rFonts w:cs="Arial"/>
          <w:szCs w:val="22"/>
        </w:rPr>
        <w:t>trop-perçues</w:t>
      </w:r>
      <w:proofErr w:type="spellEnd"/>
      <w:r w:rsidRPr="006321F4">
        <w:rPr>
          <w:rFonts w:eastAsiaTheme="minorHAnsi" w:cs="Arial"/>
          <w:szCs w:val="22"/>
        </w:rPr>
        <w:t xml:space="preserve"> </w:t>
      </w:r>
      <w:r w:rsidRPr="006321F4">
        <w:rPr>
          <w:rFonts w:cs="Arial"/>
          <w:szCs w:val="22"/>
        </w:rPr>
        <w:t xml:space="preserve">à hauteur de </w:t>
      </w:r>
      <w:r>
        <w:rPr>
          <w:rFonts w:cs="Arial"/>
          <w:szCs w:val="22"/>
        </w:rPr>
        <w:t>10</w:t>
      </w:r>
      <w:r w:rsidRPr="006321F4">
        <w:rPr>
          <w:rFonts w:cs="Arial"/>
          <w:szCs w:val="22"/>
        </w:rPr>
        <w:t xml:space="preserve"> 321,86 euros. </w:t>
      </w:r>
    </w:p>
    <w:p w:rsidR="00E07B16" w:rsidRPr="006321F4" w:rsidRDefault="00E07B16" w:rsidP="00E07B16">
      <w:pPr>
        <w:spacing w:line="276" w:lineRule="auto"/>
        <w:ind w:right="72"/>
        <w:jc w:val="both"/>
        <w:rPr>
          <w:rFonts w:cs="Arial"/>
          <w:szCs w:val="22"/>
        </w:rPr>
      </w:pPr>
    </w:p>
    <w:p w:rsidR="00E07B16" w:rsidRPr="006321F4" w:rsidRDefault="00E07B16" w:rsidP="00E07B16">
      <w:pPr>
        <w:spacing w:line="276" w:lineRule="auto"/>
        <w:ind w:right="72"/>
        <w:jc w:val="both"/>
        <w:rPr>
          <w:rFonts w:eastAsia="Calibri-Light" w:cs="Arial"/>
          <w:szCs w:val="22"/>
        </w:rPr>
      </w:pPr>
      <w:r w:rsidRPr="006321F4">
        <w:rPr>
          <w:rFonts w:cs="Arial"/>
          <w:szCs w:val="22"/>
        </w:rPr>
        <w:t>Or, le réclamant se trouve dans l’impossibilité de rembourser cette somme dans la mesure où le RSA était son unique source de revenus depuis de</w:t>
      </w:r>
      <w:r>
        <w:rPr>
          <w:rFonts w:cs="Arial"/>
          <w:szCs w:val="22"/>
        </w:rPr>
        <w:t xml:space="preserve"> nombreuses années. C</w:t>
      </w:r>
      <w:r w:rsidRPr="006321F4">
        <w:rPr>
          <w:rFonts w:cs="Arial"/>
          <w:szCs w:val="22"/>
        </w:rPr>
        <w:t xml:space="preserve">ette demande apparait excessive au regard de sa situation économique. </w:t>
      </w:r>
    </w:p>
    <w:p w:rsidR="00E07B16" w:rsidRPr="006321F4" w:rsidRDefault="00E07B16" w:rsidP="00E07B16">
      <w:pPr>
        <w:autoSpaceDE w:val="0"/>
        <w:autoSpaceDN w:val="0"/>
        <w:adjustRightInd w:val="0"/>
        <w:spacing w:line="276" w:lineRule="auto"/>
        <w:jc w:val="both"/>
        <w:rPr>
          <w:rFonts w:eastAsia="Calibri-Light" w:cs="Arial"/>
          <w:szCs w:val="22"/>
        </w:rPr>
      </w:pPr>
    </w:p>
    <w:p w:rsidR="00E07B16" w:rsidRDefault="00E07B16" w:rsidP="00E07B16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6321F4">
        <w:rPr>
          <w:rFonts w:cs="Arial"/>
          <w:szCs w:val="22"/>
        </w:rPr>
        <w:t>A ce sujet, la Cour</w:t>
      </w:r>
      <w:r w:rsidRPr="006321F4">
        <w:rPr>
          <w:rFonts w:eastAsiaTheme="minorHAnsi" w:cs="Arial"/>
          <w:szCs w:val="22"/>
        </w:rPr>
        <w:t xml:space="preserve"> européenne des droits de l'Homme (CEDH), dans un arrêt du 26 avril 2018, reconnait une obligation de protection particulière </w:t>
      </w:r>
      <w:r w:rsidRPr="006321F4">
        <w:rPr>
          <w:rFonts w:cs="Arial"/>
          <w:szCs w:val="22"/>
        </w:rPr>
        <w:t>à</w:t>
      </w:r>
      <w:r w:rsidRPr="006321F4">
        <w:rPr>
          <w:rFonts w:eastAsiaTheme="minorHAnsi" w:cs="Arial"/>
          <w:szCs w:val="22"/>
        </w:rPr>
        <w:t xml:space="preserve"> l'égard des personnes dépendantes de la protection sociale, en considérant que l'obligation de rembourser des prestations versées</w:t>
      </w:r>
      <w:r w:rsidRPr="006321F4">
        <w:rPr>
          <w:rFonts w:cs="Arial"/>
          <w:szCs w:val="22"/>
        </w:rPr>
        <w:t xml:space="preserve"> à </w:t>
      </w:r>
      <w:r w:rsidRPr="006321F4">
        <w:rPr>
          <w:rFonts w:eastAsiaTheme="minorHAnsi" w:cs="Arial"/>
          <w:szCs w:val="22"/>
        </w:rPr>
        <w:t xml:space="preserve">tort peut constituer une charge excessive contraire </w:t>
      </w:r>
      <w:r w:rsidRPr="006321F4">
        <w:rPr>
          <w:rFonts w:cs="Arial"/>
          <w:szCs w:val="22"/>
        </w:rPr>
        <w:t>à l’article 1 du protocole 1 de la</w:t>
      </w:r>
      <w:r w:rsidRPr="006321F4">
        <w:rPr>
          <w:rFonts w:eastAsiaTheme="minorHAnsi" w:cs="Arial"/>
          <w:szCs w:val="22"/>
        </w:rPr>
        <w:t xml:space="preserve"> Convention EDH. Si les organismes de protection sociale peuvent corriger leurs erreurs commises dan</w:t>
      </w:r>
      <w:r w:rsidRPr="006321F4">
        <w:rPr>
          <w:rFonts w:cs="Arial"/>
          <w:szCs w:val="22"/>
        </w:rPr>
        <w:t xml:space="preserve">s l'octroi des prestations, ils </w:t>
      </w:r>
      <w:r w:rsidRPr="006321F4">
        <w:rPr>
          <w:rFonts w:eastAsiaTheme="minorHAnsi" w:cs="Arial"/>
          <w:szCs w:val="22"/>
        </w:rPr>
        <w:t xml:space="preserve">doivent le faire dans des </w:t>
      </w:r>
      <w:r w:rsidRPr="006321F4">
        <w:rPr>
          <w:rFonts w:cs="Arial"/>
          <w:szCs w:val="22"/>
        </w:rPr>
        <w:t>délais</w:t>
      </w:r>
      <w:r w:rsidRPr="006321F4">
        <w:rPr>
          <w:rFonts w:eastAsiaTheme="minorHAnsi" w:cs="Arial"/>
          <w:szCs w:val="22"/>
        </w:rPr>
        <w:t xml:space="preserve"> raisonnables et de </w:t>
      </w:r>
      <w:r w:rsidRPr="006321F4">
        <w:rPr>
          <w:rFonts w:cs="Arial"/>
          <w:szCs w:val="22"/>
        </w:rPr>
        <w:t>manière</w:t>
      </w:r>
      <w:r w:rsidRPr="006321F4">
        <w:rPr>
          <w:rFonts w:eastAsiaTheme="minorHAnsi" w:cs="Arial"/>
          <w:szCs w:val="22"/>
        </w:rPr>
        <w:t xml:space="preserve"> </w:t>
      </w:r>
      <w:r w:rsidRPr="006321F4">
        <w:rPr>
          <w:rFonts w:cs="Arial"/>
          <w:szCs w:val="22"/>
        </w:rPr>
        <w:t>appropriée</w:t>
      </w:r>
      <w:r w:rsidRPr="006321F4">
        <w:rPr>
          <w:rFonts w:eastAsiaTheme="minorHAnsi" w:cs="Arial"/>
          <w:szCs w:val="22"/>
        </w:rPr>
        <w:t xml:space="preserve"> et </w:t>
      </w:r>
      <w:r w:rsidRPr="006321F4">
        <w:rPr>
          <w:rFonts w:cs="Arial"/>
          <w:szCs w:val="22"/>
        </w:rPr>
        <w:t xml:space="preserve">cohérente, c'est-à-dire en s'assurant </w:t>
      </w:r>
      <w:r w:rsidRPr="006321F4">
        <w:rPr>
          <w:rFonts w:eastAsiaTheme="minorHAnsi" w:cs="Arial"/>
          <w:szCs w:val="22"/>
        </w:rPr>
        <w:t xml:space="preserve">notamment que les personnes </w:t>
      </w:r>
      <w:r w:rsidRPr="006321F4">
        <w:rPr>
          <w:rFonts w:cs="Arial"/>
          <w:szCs w:val="22"/>
        </w:rPr>
        <w:t>concernées</w:t>
      </w:r>
      <w:r w:rsidRPr="006321F4">
        <w:rPr>
          <w:rFonts w:eastAsiaTheme="minorHAnsi" w:cs="Arial"/>
          <w:szCs w:val="22"/>
        </w:rPr>
        <w:t xml:space="preserve"> par cette rectification n'en supportero</w:t>
      </w:r>
      <w:r w:rsidRPr="006321F4">
        <w:rPr>
          <w:rFonts w:cs="Arial"/>
          <w:szCs w:val="22"/>
        </w:rPr>
        <w:t xml:space="preserve">nt pas la charge de manière </w:t>
      </w:r>
      <w:r w:rsidRPr="006321F4">
        <w:rPr>
          <w:rFonts w:eastAsiaTheme="minorHAnsi" w:cs="Arial"/>
          <w:szCs w:val="22"/>
        </w:rPr>
        <w:t>excess</w:t>
      </w:r>
      <w:r w:rsidRPr="006321F4">
        <w:rPr>
          <w:rFonts w:cs="Arial"/>
          <w:szCs w:val="22"/>
        </w:rPr>
        <w:t>ive au regard de leur situation (</w:t>
      </w:r>
      <w:r w:rsidRPr="006321F4">
        <w:rPr>
          <w:rFonts w:eastAsiaTheme="minorHAnsi" w:cs="Arial"/>
          <w:szCs w:val="22"/>
        </w:rPr>
        <w:t xml:space="preserve">CEDH, 26 avril 2018, </w:t>
      </w:r>
      <w:proofErr w:type="spellStart"/>
      <w:r w:rsidRPr="006321F4">
        <w:rPr>
          <w:rFonts w:eastAsiaTheme="minorHAnsi" w:cs="Arial"/>
          <w:szCs w:val="22"/>
        </w:rPr>
        <w:t>Čakarević</w:t>
      </w:r>
      <w:proofErr w:type="spellEnd"/>
      <w:r w:rsidRPr="006321F4">
        <w:rPr>
          <w:rFonts w:eastAsiaTheme="minorHAnsi" w:cs="Arial"/>
          <w:szCs w:val="22"/>
        </w:rPr>
        <w:t xml:space="preserve"> c. Croatie</w:t>
      </w:r>
      <w:r w:rsidRPr="006321F4">
        <w:rPr>
          <w:rFonts w:cs="Arial"/>
          <w:szCs w:val="22"/>
        </w:rPr>
        <w:t>, n°48921/13).</w:t>
      </w:r>
    </w:p>
    <w:p w:rsidR="00E07B16" w:rsidRDefault="00E07B16" w:rsidP="00E07B16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E07B16" w:rsidRPr="000903AB" w:rsidRDefault="00E07B16" w:rsidP="00E07B16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6321F4">
        <w:rPr>
          <w:rFonts w:cs="Arial"/>
          <w:szCs w:val="22"/>
        </w:rPr>
        <w:t xml:space="preserve">Pour </w:t>
      </w:r>
      <w:r>
        <w:rPr>
          <w:rFonts w:cs="Arial"/>
          <w:szCs w:val="22"/>
        </w:rPr>
        <w:t>que</w:t>
      </w:r>
      <w:r w:rsidRPr="006321F4">
        <w:rPr>
          <w:rFonts w:cs="Arial"/>
          <w:szCs w:val="22"/>
        </w:rPr>
        <w:t xml:space="preserve"> cette jurisprudence</w:t>
      </w:r>
      <w:r>
        <w:rPr>
          <w:rFonts w:cs="Arial"/>
          <w:szCs w:val="22"/>
        </w:rPr>
        <w:t xml:space="preserve"> trouve à s’appliquer, la C</w:t>
      </w:r>
      <w:r w:rsidRPr="006321F4">
        <w:rPr>
          <w:rFonts w:cs="Arial"/>
          <w:szCs w:val="22"/>
        </w:rPr>
        <w:t xml:space="preserve">our va examiner plusieurs critères pour conclure à </w:t>
      </w:r>
      <w:r w:rsidRPr="006321F4">
        <w:rPr>
          <w:rFonts w:eastAsiaTheme="minorHAnsi" w:cs="Arial"/>
          <w:szCs w:val="22"/>
        </w:rPr>
        <w:t>la violation de l'article 1 protocole 1 de la CEDH</w:t>
      </w:r>
      <w:r w:rsidRPr="006321F4">
        <w:rPr>
          <w:rFonts w:cs="Arial"/>
          <w:szCs w:val="22"/>
        </w:rPr>
        <w:t> :</w:t>
      </w:r>
    </w:p>
    <w:p w:rsidR="00E07B16" w:rsidRPr="006321F4" w:rsidRDefault="00E07B16" w:rsidP="00E07B16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E07B16" w:rsidRPr="000903AB" w:rsidRDefault="00E07B16" w:rsidP="00E07B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0903AB">
        <w:rPr>
          <w:rFonts w:cs="Arial"/>
          <w:szCs w:val="22"/>
        </w:rPr>
        <w:t>L’indu</w:t>
      </w:r>
      <w:r w:rsidRPr="000903AB">
        <w:rPr>
          <w:rFonts w:eastAsiaTheme="minorHAnsi" w:cs="Arial"/>
          <w:szCs w:val="22"/>
        </w:rPr>
        <w:t xml:space="preserve"> </w:t>
      </w:r>
      <w:r w:rsidRPr="000903AB">
        <w:rPr>
          <w:rFonts w:cs="Arial"/>
          <w:szCs w:val="22"/>
        </w:rPr>
        <w:t>doit résulter</w:t>
      </w:r>
      <w:r w:rsidRPr="000903AB">
        <w:rPr>
          <w:rFonts w:eastAsiaTheme="minorHAnsi" w:cs="Arial"/>
          <w:szCs w:val="22"/>
        </w:rPr>
        <w:t xml:space="preserve"> d'une erreur imputable seulement </w:t>
      </w:r>
      <w:r w:rsidRPr="000903AB">
        <w:rPr>
          <w:rFonts w:cs="Arial"/>
          <w:szCs w:val="22"/>
        </w:rPr>
        <w:t>à l'organisme,</w:t>
      </w:r>
    </w:p>
    <w:p w:rsidR="00E07B16" w:rsidRPr="000903AB" w:rsidRDefault="00E07B16" w:rsidP="00E07B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0903AB">
        <w:rPr>
          <w:rFonts w:cs="Arial"/>
          <w:szCs w:val="22"/>
        </w:rPr>
        <w:t>La</w:t>
      </w:r>
      <w:r w:rsidRPr="000903AB">
        <w:rPr>
          <w:rFonts w:eastAsiaTheme="minorHAnsi" w:cs="Arial"/>
          <w:szCs w:val="22"/>
        </w:rPr>
        <w:t xml:space="preserve"> personne </w:t>
      </w:r>
      <w:r w:rsidRPr="000903AB">
        <w:rPr>
          <w:rFonts w:cs="Arial"/>
          <w:szCs w:val="22"/>
        </w:rPr>
        <w:t xml:space="preserve">doit être </w:t>
      </w:r>
      <w:r w:rsidRPr="000903AB">
        <w:rPr>
          <w:rFonts w:eastAsiaTheme="minorHAnsi" w:cs="Arial"/>
          <w:szCs w:val="22"/>
        </w:rPr>
        <w:t xml:space="preserve">de bonne foi, </w:t>
      </w:r>
      <w:r w:rsidRPr="000903AB">
        <w:rPr>
          <w:rFonts w:cs="Arial"/>
          <w:szCs w:val="22"/>
        </w:rPr>
        <w:t>et ne pas avoir été informée</w:t>
      </w:r>
      <w:r w:rsidRPr="000903AB">
        <w:rPr>
          <w:rFonts w:eastAsiaTheme="minorHAnsi" w:cs="Arial"/>
          <w:szCs w:val="22"/>
        </w:rPr>
        <w:t xml:space="preserve"> de</w:t>
      </w:r>
      <w:r w:rsidRPr="000903AB">
        <w:rPr>
          <w:rFonts w:cs="Arial"/>
          <w:szCs w:val="22"/>
        </w:rPr>
        <w:t>s</w:t>
      </w:r>
      <w:r w:rsidRPr="000903AB">
        <w:rPr>
          <w:rFonts w:eastAsiaTheme="minorHAnsi" w:cs="Arial"/>
          <w:szCs w:val="22"/>
        </w:rPr>
        <w:t xml:space="preserve"> dispositions </w:t>
      </w:r>
      <w:r w:rsidRPr="000903AB">
        <w:rPr>
          <w:rFonts w:cs="Arial"/>
          <w:szCs w:val="22"/>
        </w:rPr>
        <w:t>légales</w:t>
      </w:r>
      <w:r w:rsidRPr="000903AB">
        <w:rPr>
          <w:rFonts w:eastAsiaTheme="minorHAnsi" w:cs="Arial"/>
          <w:szCs w:val="22"/>
        </w:rPr>
        <w:t xml:space="preserve"> ou </w:t>
      </w:r>
      <w:r w:rsidRPr="000903AB">
        <w:rPr>
          <w:rFonts w:cs="Arial"/>
          <w:szCs w:val="22"/>
        </w:rPr>
        <w:t>règlementaires</w:t>
      </w:r>
      <w:r w:rsidRPr="000903AB">
        <w:rPr>
          <w:rFonts w:eastAsiaTheme="minorHAnsi" w:cs="Arial"/>
          <w:szCs w:val="22"/>
        </w:rPr>
        <w:t xml:space="preserve"> pouvant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>limiter son droit aux prestations, lesquelles constituent ses seuls moyens de subsistance, pouvait</w:t>
      </w:r>
      <w:r w:rsidRPr="000903AB">
        <w:rPr>
          <w:rFonts w:cs="Arial"/>
          <w:szCs w:val="22"/>
        </w:rPr>
        <w:t xml:space="preserve"> lé</w:t>
      </w:r>
      <w:r w:rsidRPr="000903AB">
        <w:rPr>
          <w:rFonts w:eastAsiaTheme="minorHAnsi" w:cs="Arial"/>
          <w:szCs w:val="22"/>
        </w:rPr>
        <w:t xml:space="preserve">gitimement </w:t>
      </w:r>
      <w:r w:rsidRPr="000903AB">
        <w:rPr>
          <w:rFonts w:cs="Arial"/>
          <w:szCs w:val="22"/>
        </w:rPr>
        <w:t>espérer</w:t>
      </w:r>
      <w:r w:rsidRPr="000903AB">
        <w:rPr>
          <w:rFonts w:eastAsiaTheme="minorHAnsi" w:cs="Arial"/>
          <w:szCs w:val="22"/>
        </w:rPr>
        <w:t xml:space="preserve"> continuer </w:t>
      </w:r>
      <w:r w:rsidRPr="000903AB">
        <w:rPr>
          <w:rFonts w:cs="Arial"/>
          <w:szCs w:val="22"/>
        </w:rPr>
        <w:t>à</w:t>
      </w:r>
      <w:r w:rsidRPr="000903AB">
        <w:rPr>
          <w:rFonts w:eastAsiaTheme="minorHAnsi" w:cs="Arial"/>
          <w:szCs w:val="22"/>
        </w:rPr>
        <w:t xml:space="preserve"> </w:t>
      </w:r>
      <w:r w:rsidRPr="000903AB">
        <w:rPr>
          <w:rFonts w:cs="Arial"/>
          <w:szCs w:val="22"/>
        </w:rPr>
        <w:t>bénéficier</w:t>
      </w:r>
      <w:r w:rsidRPr="000903AB">
        <w:rPr>
          <w:rFonts w:eastAsiaTheme="minorHAnsi" w:cs="Arial"/>
          <w:szCs w:val="22"/>
        </w:rPr>
        <w:t xml:space="preserve"> de telles prestations pendant la </w:t>
      </w:r>
      <w:r w:rsidRPr="000903AB">
        <w:rPr>
          <w:rFonts w:cs="Arial"/>
          <w:szCs w:val="22"/>
        </w:rPr>
        <w:t xml:space="preserve">période de versement à </w:t>
      </w:r>
      <w:r w:rsidRPr="000903AB">
        <w:rPr>
          <w:rFonts w:eastAsiaTheme="minorHAnsi" w:cs="Arial"/>
          <w:szCs w:val="22"/>
        </w:rPr>
        <w:t>tort des prestations (</w:t>
      </w:r>
      <w:proofErr w:type="spellStart"/>
      <w:r w:rsidRPr="000903AB">
        <w:rPr>
          <w:rFonts w:eastAsiaTheme="minorHAnsi" w:cs="Arial"/>
          <w:szCs w:val="22"/>
        </w:rPr>
        <w:t>Čakarević</w:t>
      </w:r>
      <w:proofErr w:type="spellEnd"/>
      <w:r w:rsidRPr="000903AB">
        <w:rPr>
          <w:rFonts w:eastAsiaTheme="minorHAnsi" w:cs="Arial"/>
          <w:szCs w:val="22"/>
        </w:rPr>
        <w:t xml:space="preserve"> c. Croatie, § 64).</w:t>
      </w:r>
    </w:p>
    <w:p w:rsidR="00E07B16" w:rsidRPr="000903AB" w:rsidRDefault="00E07B16" w:rsidP="00E07B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2"/>
        </w:rPr>
      </w:pPr>
      <w:r w:rsidRPr="000903AB">
        <w:rPr>
          <w:rFonts w:cs="Arial"/>
          <w:szCs w:val="22"/>
        </w:rPr>
        <w:t>La</w:t>
      </w:r>
      <w:r w:rsidRPr="000903AB">
        <w:rPr>
          <w:rFonts w:eastAsiaTheme="minorHAnsi" w:cs="Arial"/>
          <w:szCs w:val="22"/>
        </w:rPr>
        <w:t xml:space="preserve"> décision de suspension/révocation d'une prestation ou de remboursement de sommes </w:t>
      </w:r>
      <w:r w:rsidRPr="000903AB">
        <w:rPr>
          <w:rFonts w:cs="Arial"/>
          <w:szCs w:val="22"/>
        </w:rPr>
        <w:t>indues doit se</w:t>
      </w:r>
      <w:r w:rsidRPr="000903AB">
        <w:rPr>
          <w:rFonts w:eastAsiaTheme="minorHAnsi" w:cs="Arial"/>
          <w:szCs w:val="22"/>
        </w:rPr>
        <w:t xml:space="preserve"> fonde</w:t>
      </w:r>
      <w:r w:rsidRPr="000903AB">
        <w:rPr>
          <w:rFonts w:cs="Arial"/>
          <w:szCs w:val="22"/>
        </w:rPr>
        <w:t>r</w:t>
      </w:r>
      <w:r w:rsidRPr="000903AB">
        <w:rPr>
          <w:rFonts w:eastAsiaTheme="minorHAnsi" w:cs="Arial"/>
          <w:szCs w:val="22"/>
        </w:rPr>
        <w:t xml:space="preserve"> sur une disposition </w:t>
      </w:r>
      <w:r w:rsidRPr="000903AB">
        <w:rPr>
          <w:rFonts w:cs="Arial"/>
          <w:szCs w:val="22"/>
        </w:rPr>
        <w:t>légale</w:t>
      </w:r>
      <w:r w:rsidRPr="000903AB">
        <w:rPr>
          <w:rFonts w:eastAsiaTheme="minorHAnsi" w:cs="Arial"/>
          <w:szCs w:val="22"/>
        </w:rPr>
        <w:t xml:space="preserve"> ou </w:t>
      </w:r>
      <w:r w:rsidRPr="000903AB">
        <w:rPr>
          <w:rFonts w:cs="Arial"/>
          <w:szCs w:val="22"/>
        </w:rPr>
        <w:t>règlementaire</w:t>
      </w:r>
      <w:r w:rsidRPr="000903AB">
        <w:rPr>
          <w:rFonts w:eastAsiaTheme="minorHAnsi" w:cs="Arial"/>
          <w:szCs w:val="22"/>
        </w:rPr>
        <w:t xml:space="preserve"> que l'organisme n'a pas </w:t>
      </w:r>
      <w:r w:rsidRPr="000903AB">
        <w:rPr>
          <w:rFonts w:cs="Arial"/>
          <w:szCs w:val="22"/>
        </w:rPr>
        <w:t>porté</w:t>
      </w:r>
      <w:r w:rsidRPr="000903AB">
        <w:rPr>
          <w:rFonts w:eastAsiaTheme="minorHAnsi" w:cs="Arial"/>
          <w:szCs w:val="22"/>
        </w:rPr>
        <w:t xml:space="preserve"> </w:t>
      </w:r>
      <w:r w:rsidRPr="000903AB">
        <w:rPr>
          <w:rFonts w:cs="Arial"/>
          <w:szCs w:val="22"/>
        </w:rPr>
        <w:t>à</w:t>
      </w:r>
      <w:r w:rsidRPr="000903AB">
        <w:rPr>
          <w:rFonts w:eastAsiaTheme="minorHAnsi" w:cs="Arial"/>
          <w:szCs w:val="22"/>
        </w:rPr>
        <w:t xml:space="preserve"> la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 xml:space="preserve">connaissance de la personne </w:t>
      </w:r>
      <w:r w:rsidRPr="000903AB">
        <w:rPr>
          <w:rFonts w:cs="Arial"/>
          <w:szCs w:val="22"/>
        </w:rPr>
        <w:t>concernée</w:t>
      </w:r>
      <w:r w:rsidRPr="000903AB">
        <w:rPr>
          <w:rFonts w:eastAsiaTheme="minorHAnsi" w:cs="Arial"/>
          <w:szCs w:val="22"/>
        </w:rPr>
        <w:t xml:space="preserve">, </w:t>
      </w:r>
      <w:r w:rsidRPr="000903AB">
        <w:rPr>
          <w:rFonts w:cs="Arial"/>
          <w:szCs w:val="22"/>
        </w:rPr>
        <w:t xml:space="preserve">et </w:t>
      </w:r>
      <w:r w:rsidRPr="000903AB">
        <w:rPr>
          <w:rFonts w:eastAsiaTheme="minorHAnsi" w:cs="Arial"/>
          <w:szCs w:val="22"/>
        </w:rPr>
        <w:t xml:space="preserve">il commet </w:t>
      </w:r>
      <w:r w:rsidRPr="000903AB">
        <w:rPr>
          <w:rFonts w:cs="Arial"/>
          <w:szCs w:val="22"/>
        </w:rPr>
        <w:t xml:space="preserve">ainsi </w:t>
      </w:r>
      <w:r w:rsidRPr="000903AB">
        <w:rPr>
          <w:rFonts w:eastAsiaTheme="minorHAnsi" w:cs="Arial"/>
          <w:szCs w:val="22"/>
        </w:rPr>
        <w:t xml:space="preserve">une erreur. De </w:t>
      </w:r>
      <w:r w:rsidRPr="000903AB">
        <w:rPr>
          <w:rFonts w:cs="Arial"/>
          <w:szCs w:val="22"/>
        </w:rPr>
        <w:t xml:space="preserve">même lorsqu'il </w:t>
      </w:r>
      <w:proofErr w:type="gramStart"/>
      <w:r w:rsidRPr="000903AB">
        <w:rPr>
          <w:rFonts w:cs="Arial"/>
          <w:szCs w:val="22"/>
        </w:rPr>
        <w:t>a</w:t>
      </w:r>
      <w:proofErr w:type="gramEnd"/>
      <w:r w:rsidRPr="000903AB">
        <w:rPr>
          <w:rFonts w:cs="Arial"/>
          <w:szCs w:val="22"/>
        </w:rPr>
        <w:t xml:space="preserve"> versé à</w:t>
      </w:r>
      <w:r w:rsidRPr="000903AB">
        <w:rPr>
          <w:rFonts w:eastAsiaTheme="minorHAnsi" w:cs="Arial"/>
          <w:szCs w:val="22"/>
        </w:rPr>
        <w:t xml:space="preserve"> tort les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>prestations (</w:t>
      </w:r>
      <w:proofErr w:type="spellStart"/>
      <w:r w:rsidRPr="000903AB">
        <w:rPr>
          <w:rFonts w:eastAsiaTheme="minorHAnsi" w:cs="Arial"/>
          <w:szCs w:val="22"/>
        </w:rPr>
        <w:t>Čakarević</w:t>
      </w:r>
      <w:proofErr w:type="spellEnd"/>
      <w:r w:rsidRPr="000903AB">
        <w:rPr>
          <w:rFonts w:eastAsiaTheme="minorHAnsi" w:cs="Arial"/>
          <w:szCs w:val="22"/>
        </w:rPr>
        <w:t xml:space="preserve"> c. Croatie, §85).</w:t>
      </w:r>
    </w:p>
    <w:p w:rsidR="00E07B16" w:rsidRPr="000903AB" w:rsidRDefault="00E07B16" w:rsidP="00E07B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2"/>
        </w:rPr>
      </w:pPr>
      <w:r w:rsidRPr="000903AB">
        <w:rPr>
          <w:rFonts w:eastAsiaTheme="minorHAnsi" w:cs="Arial"/>
          <w:szCs w:val="22"/>
        </w:rPr>
        <w:t xml:space="preserve">En cas de versement </w:t>
      </w:r>
      <w:proofErr w:type="gramStart"/>
      <w:r w:rsidRPr="000903AB">
        <w:rPr>
          <w:rFonts w:eastAsiaTheme="minorHAnsi" w:cs="Arial"/>
          <w:szCs w:val="22"/>
        </w:rPr>
        <w:t>a</w:t>
      </w:r>
      <w:proofErr w:type="gramEnd"/>
      <w:r w:rsidRPr="000903AB">
        <w:rPr>
          <w:rFonts w:eastAsiaTheme="minorHAnsi" w:cs="Arial"/>
          <w:szCs w:val="22"/>
        </w:rPr>
        <w:t xml:space="preserve"> tort d'une prestation, l'organisme de protection sociale a</w:t>
      </w:r>
      <w:r w:rsidRPr="000903AB">
        <w:rPr>
          <w:rFonts w:cs="Arial"/>
          <w:szCs w:val="22"/>
        </w:rPr>
        <w:t>vait</w:t>
      </w:r>
      <w:r w:rsidRPr="000903AB">
        <w:rPr>
          <w:rFonts w:eastAsiaTheme="minorHAnsi" w:cs="Arial"/>
          <w:szCs w:val="22"/>
        </w:rPr>
        <w:t xml:space="preserve"> l'obligation</w:t>
      </w:r>
      <w:r w:rsidRPr="000903AB">
        <w:rPr>
          <w:rFonts w:cs="Arial"/>
          <w:szCs w:val="22"/>
        </w:rPr>
        <w:t xml:space="preserve"> d’intervenir</w:t>
      </w:r>
      <w:r w:rsidRPr="000903AB">
        <w:rPr>
          <w:rFonts w:eastAsiaTheme="minorHAnsi" w:cs="Arial"/>
          <w:szCs w:val="22"/>
        </w:rPr>
        <w:t xml:space="preserve"> en temps voulu/dans un </w:t>
      </w:r>
      <w:r w:rsidRPr="000903AB">
        <w:rPr>
          <w:rFonts w:cs="Arial"/>
          <w:szCs w:val="22"/>
        </w:rPr>
        <w:t>délai</w:t>
      </w:r>
      <w:r w:rsidRPr="000903AB">
        <w:rPr>
          <w:rFonts w:eastAsiaTheme="minorHAnsi" w:cs="Arial"/>
          <w:szCs w:val="22"/>
        </w:rPr>
        <w:t xml:space="preserve"> raisonnable</w:t>
      </w:r>
      <w:r w:rsidRPr="000903AB">
        <w:rPr>
          <w:rFonts w:cs="Arial"/>
          <w:szCs w:val="22"/>
        </w:rPr>
        <w:t xml:space="preserve">, </w:t>
      </w:r>
      <w:r w:rsidRPr="000903AB">
        <w:rPr>
          <w:rFonts w:eastAsiaTheme="minorHAnsi" w:cs="Arial"/>
          <w:szCs w:val="22"/>
        </w:rPr>
        <w:t xml:space="preserve">de </w:t>
      </w:r>
      <w:r w:rsidRPr="000903AB">
        <w:rPr>
          <w:rFonts w:cs="Arial"/>
          <w:szCs w:val="22"/>
        </w:rPr>
        <w:t>manière</w:t>
      </w:r>
      <w:r w:rsidRPr="000903AB">
        <w:rPr>
          <w:rFonts w:eastAsiaTheme="minorHAnsi" w:cs="Arial"/>
          <w:szCs w:val="22"/>
        </w:rPr>
        <w:t xml:space="preserve"> </w:t>
      </w:r>
      <w:r w:rsidRPr="000903AB">
        <w:rPr>
          <w:rFonts w:cs="Arial"/>
          <w:szCs w:val="22"/>
        </w:rPr>
        <w:t>appropriée</w:t>
      </w:r>
      <w:r w:rsidRPr="000903AB">
        <w:rPr>
          <w:rFonts w:eastAsiaTheme="minorHAnsi" w:cs="Arial"/>
          <w:szCs w:val="22"/>
        </w:rPr>
        <w:t xml:space="preserve"> et</w:t>
      </w:r>
      <w:r w:rsidRPr="000903AB">
        <w:rPr>
          <w:rFonts w:cs="Arial"/>
          <w:szCs w:val="22"/>
        </w:rPr>
        <w:t xml:space="preserve"> cohérente</w:t>
      </w:r>
    </w:p>
    <w:p w:rsidR="00E07B16" w:rsidRPr="000903AB" w:rsidRDefault="00E07B16" w:rsidP="00E07B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0903AB">
        <w:rPr>
          <w:rFonts w:cs="Arial"/>
          <w:szCs w:val="22"/>
        </w:rPr>
        <w:t>L</w:t>
      </w:r>
      <w:r w:rsidRPr="000903AB">
        <w:rPr>
          <w:rFonts w:eastAsiaTheme="minorHAnsi" w:cs="Arial"/>
          <w:szCs w:val="22"/>
        </w:rPr>
        <w:t xml:space="preserve">e fait de demander </w:t>
      </w:r>
      <w:r w:rsidRPr="000903AB">
        <w:rPr>
          <w:rFonts w:cs="Arial"/>
          <w:szCs w:val="22"/>
        </w:rPr>
        <w:t>à</w:t>
      </w:r>
      <w:r w:rsidRPr="000903AB">
        <w:rPr>
          <w:rFonts w:eastAsiaTheme="minorHAnsi" w:cs="Arial"/>
          <w:szCs w:val="22"/>
        </w:rPr>
        <w:t xml:space="preserve"> une personne de rembourser des sommes indues a l'organisme sans prendre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 xml:space="preserve">en compte son </w:t>
      </w:r>
      <w:r w:rsidRPr="000903AB">
        <w:rPr>
          <w:rFonts w:cs="Arial"/>
          <w:szCs w:val="22"/>
        </w:rPr>
        <w:t>état</w:t>
      </w:r>
      <w:r w:rsidRPr="000903AB">
        <w:rPr>
          <w:rFonts w:eastAsiaTheme="minorHAnsi" w:cs="Arial"/>
          <w:szCs w:val="22"/>
        </w:rPr>
        <w:t xml:space="preserve"> de sante et sa situation </w:t>
      </w:r>
      <w:r w:rsidRPr="000903AB">
        <w:rPr>
          <w:rFonts w:cs="Arial"/>
          <w:szCs w:val="22"/>
        </w:rPr>
        <w:t>économique</w:t>
      </w:r>
      <w:r w:rsidRPr="000903AB">
        <w:rPr>
          <w:rFonts w:eastAsiaTheme="minorHAnsi" w:cs="Arial"/>
          <w:szCs w:val="22"/>
        </w:rPr>
        <w:t>, entrainant ainsi l'obligation de recouvrir une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>somme dont elle ne dispose pas ou dont elle a besoin pou</w:t>
      </w:r>
      <w:r w:rsidRPr="000903AB">
        <w:rPr>
          <w:rFonts w:cs="Arial"/>
          <w:szCs w:val="22"/>
        </w:rPr>
        <w:t>r assurer sa subsistance reviendrait</w:t>
      </w:r>
      <w:r w:rsidRPr="000903AB">
        <w:rPr>
          <w:rFonts w:eastAsiaTheme="minorHAnsi" w:cs="Arial"/>
          <w:szCs w:val="22"/>
        </w:rPr>
        <w:t xml:space="preserve"> </w:t>
      </w:r>
      <w:r w:rsidRPr="000903AB">
        <w:rPr>
          <w:rFonts w:cs="Arial"/>
          <w:szCs w:val="22"/>
        </w:rPr>
        <w:t>à</w:t>
      </w:r>
      <w:r w:rsidRPr="000903AB">
        <w:rPr>
          <w:rFonts w:eastAsiaTheme="minorHAnsi" w:cs="Arial"/>
          <w:szCs w:val="22"/>
        </w:rPr>
        <w:t xml:space="preserve"> lui faire</w:t>
      </w:r>
      <w:r w:rsidRPr="000903AB">
        <w:rPr>
          <w:rFonts w:cs="Arial"/>
          <w:szCs w:val="22"/>
        </w:rPr>
        <w:t xml:space="preserve"> </w:t>
      </w:r>
      <w:r w:rsidRPr="000903AB">
        <w:rPr>
          <w:rFonts w:eastAsiaTheme="minorHAnsi" w:cs="Arial"/>
          <w:szCs w:val="22"/>
        </w:rPr>
        <w:t>supporter une charge excessive (</w:t>
      </w:r>
      <w:proofErr w:type="spellStart"/>
      <w:r w:rsidRPr="000903AB">
        <w:rPr>
          <w:rFonts w:eastAsiaTheme="minorHAnsi" w:cs="Arial"/>
          <w:szCs w:val="22"/>
        </w:rPr>
        <w:t>Čakarević</w:t>
      </w:r>
      <w:proofErr w:type="spellEnd"/>
      <w:r w:rsidRPr="000903AB">
        <w:rPr>
          <w:rFonts w:eastAsiaTheme="minorHAnsi" w:cs="Arial"/>
          <w:szCs w:val="22"/>
        </w:rPr>
        <w:t xml:space="preserve"> c. Croatie, § 90).</w:t>
      </w:r>
    </w:p>
    <w:p w:rsidR="00E07B16" w:rsidRPr="000903AB" w:rsidRDefault="00E07B16" w:rsidP="00E07B16">
      <w:pPr>
        <w:spacing w:line="276" w:lineRule="auto"/>
        <w:ind w:right="72"/>
        <w:jc w:val="both"/>
        <w:rPr>
          <w:rFonts w:cs="Arial"/>
          <w:szCs w:val="22"/>
        </w:rPr>
      </w:pPr>
    </w:p>
    <w:p w:rsidR="00E07B16" w:rsidRPr="006321F4" w:rsidRDefault="00E07B16" w:rsidP="00E07B16">
      <w:pPr>
        <w:spacing w:line="276" w:lineRule="auto"/>
        <w:ind w:right="72"/>
        <w:jc w:val="both"/>
        <w:rPr>
          <w:rFonts w:cs="Arial"/>
          <w:szCs w:val="22"/>
        </w:rPr>
      </w:pPr>
      <w:r w:rsidRPr="006321F4">
        <w:rPr>
          <w:rFonts w:cs="Arial"/>
          <w:szCs w:val="22"/>
        </w:rPr>
        <w:t>En l’espèce,</w:t>
      </w:r>
      <w:r w:rsidRPr="006321F4">
        <w:rPr>
          <w:rFonts w:eastAsiaTheme="minorHAnsi" w:cs="Arial"/>
          <w:szCs w:val="22"/>
        </w:rPr>
        <w:t xml:space="preserve"> cette demande de </w:t>
      </w:r>
      <w:r w:rsidRPr="006321F4">
        <w:rPr>
          <w:rFonts w:cs="Arial"/>
          <w:szCs w:val="22"/>
        </w:rPr>
        <w:t>remboursement d</w:t>
      </w:r>
      <w:r w:rsidRPr="006321F4">
        <w:rPr>
          <w:rFonts w:eastAsiaTheme="minorHAnsi" w:cs="Arial"/>
          <w:szCs w:val="22"/>
        </w:rPr>
        <w:t xml:space="preserve">es sommes </w:t>
      </w:r>
      <w:r w:rsidRPr="006321F4">
        <w:rPr>
          <w:rFonts w:cs="Arial"/>
          <w:szCs w:val="22"/>
        </w:rPr>
        <w:t xml:space="preserve">perçues </w:t>
      </w:r>
      <w:r>
        <w:rPr>
          <w:rFonts w:cs="Arial"/>
          <w:szCs w:val="22"/>
        </w:rPr>
        <w:t>- si elle devait être maintenue alors même qu’elle</w:t>
      </w:r>
      <w:r w:rsidRPr="006321F4">
        <w:rPr>
          <w:rFonts w:cs="Arial"/>
          <w:szCs w:val="22"/>
        </w:rPr>
        <w:t xml:space="preserve"> ne se fonde sur aucune disposition légale ou réglementaire </w:t>
      </w:r>
      <w:r>
        <w:rPr>
          <w:rFonts w:cs="Arial"/>
          <w:szCs w:val="22"/>
        </w:rPr>
        <w:t>-</w:t>
      </w:r>
      <w:r w:rsidRPr="006321F4">
        <w:rPr>
          <w:rFonts w:cs="Arial"/>
          <w:szCs w:val="22"/>
        </w:rPr>
        <w:t xml:space="preserve"> pourrait constituer une atteinte à l’article susmentionné de la CEDH.  </w:t>
      </w:r>
    </w:p>
    <w:p w:rsidR="0025306C" w:rsidRDefault="0025306C"/>
    <w:sectPr w:rsidR="0025306C" w:rsidSect="0025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3FA7"/>
    <w:multiLevelType w:val="hybridMultilevel"/>
    <w:tmpl w:val="8A961A10"/>
    <w:lvl w:ilvl="0" w:tplc="FB8236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07B16"/>
    <w:rsid w:val="0025306C"/>
    <w:rsid w:val="004C7775"/>
    <w:rsid w:val="00D7484C"/>
    <w:rsid w:val="00E07B16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B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2020-02-26T20:52:00Z</dcterms:created>
  <dcterms:modified xsi:type="dcterms:W3CDTF">2020-02-26T20:53:00Z</dcterms:modified>
</cp:coreProperties>
</file>