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01" w:rsidRPr="00ED1601" w:rsidRDefault="00ED1601" w:rsidP="00ED1601">
      <w:pPr>
        <w:rPr>
          <w:rFonts w:ascii="Times New Roman" w:hAnsi="Times New Roman" w:cs="Times New Roman"/>
          <w:bCs/>
          <w:sz w:val="32"/>
          <w:szCs w:val="32"/>
        </w:rPr>
      </w:pPr>
      <w:r w:rsidRPr="00ED1601">
        <w:rPr>
          <w:rFonts w:ascii="Times New Roman" w:hAnsi="Times New Roman" w:cs="Times New Roman"/>
          <w:vanish/>
          <w:sz w:val="32"/>
          <w:szCs w:val="32"/>
        </w:rPr>
        <w:t xml:space="preserve">CE, </w:t>
      </w:r>
      <w:r w:rsidRPr="00ED1601">
        <w:rPr>
          <w:rFonts w:ascii="Times New Roman" w:hAnsi="Times New Roman" w:cs="Times New Roman"/>
          <w:spacing w:val="-3"/>
          <w:sz w:val="32"/>
          <w:szCs w:val="32"/>
        </w:rPr>
        <w:t>17 novembre 2017</w:t>
      </w:r>
      <w:r w:rsidRPr="00ED1601">
        <w:rPr>
          <w:rFonts w:ascii="Times New Roman" w:hAnsi="Times New Roman" w:cs="Times New Roman"/>
          <w:spacing w:val="-3"/>
          <w:sz w:val="32"/>
          <w:szCs w:val="32"/>
        </w:rPr>
        <w:t>, n°</w:t>
      </w:r>
      <w:r w:rsidRPr="00ED1601">
        <w:rPr>
          <w:rFonts w:ascii="Times New Roman" w:hAnsi="Times New Roman" w:cs="Times New Roman"/>
          <w:bCs/>
          <w:sz w:val="32"/>
          <w:szCs w:val="32"/>
        </w:rPr>
        <w:t>400606</w:t>
      </w:r>
    </w:p>
    <w:p w:rsidR="00ED1601" w:rsidRDefault="00ED1601" w:rsidP="00ED1601">
      <w:pPr>
        <w:pStyle w:val="Textebrut"/>
        <w:jc w:val="both"/>
        <w:rPr>
          <w:rFonts w:ascii="Arial" w:hAnsi="Arial" w:cs="Arial"/>
          <w:vanish/>
          <w:sz w:val="24"/>
          <w:szCs w:val="24"/>
        </w:rPr>
      </w:pPr>
    </w:p>
    <w:p w:rsidR="00ED1601" w:rsidRDefault="00ED1601" w:rsidP="00ED1601">
      <w:pPr>
        <w:pStyle w:val="Textebrut"/>
        <w:jc w:val="both"/>
        <w:rPr>
          <w:rFonts w:ascii="Arial" w:hAnsi="Arial" w:cs="Arial"/>
          <w:vanish/>
          <w:sz w:val="24"/>
          <w:szCs w:val="24"/>
        </w:rPr>
      </w:pPr>
      <w:r>
        <w:rPr>
          <w:rFonts w:ascii="Arial" w:hAnsi="Arial" w:cs="Arial"/>
          <w:vanish/>
          <w:sz w:val="24"/>
          <w:szCs w:val="24"/>
        </w:rPr>
        <w:t xml:space="preserve">Rapport public – </w:t>
      </w:r>
    </w:p>
    <w:p w:rsidR="00ED1601" w:rsidRDefault="00ED1601" w:rsidP="00ED1601">
      <w:pPr>
        <w:pStyle w:val="Textebrut"/>
        <w:jc w:val="both"/>
        <w:rPr>
          <w:rFonts w:ascii="Arial" w:hAnsi="Arial" w:cs="Arial"/>
          <w:vanish/>
          <w:sz w:val="24"/>
          <w:szCs w:val="24"/>
        </w:rPr>
      </w:pPr>
    </w:p>
    <w:p w:rsidR="00ED1601" w:rsidRDefault="00ED1601" w:rsidP="00ED1601">
      <w:pPr>
        <w:pStyle w:val="Textebrut"/>
        <w:jc w:val="both"/>
        <w:rPr>
          <w:rFonts w:ascii="Arial" w:hAnsi="Arial" w:cs="Arial"/>
          <w:sz w:val="24"/>
          <w:szCs w:val="24"/>
        </w:rPr>
      </w:pPr>
      <w:r>
        <w:rPr>
          <w:rFonts w:ascii="Arial" w:hAnsi="Arial" w:cs="Arial"/>
          <w:sz w:val="24"/>
          <w:szCs w:val="24"/>
        </w:rPr>
        <w:t>Montants d'allocation indûment versés - Récupération - Possibilité de remise gracieuse de la dette de l'allocataire - 1) Condition - Absence de fausse déclaration - Notion (1) - 2) a) Office du juge de plein contentieux saisi d'un refus de remise gracieuse - b) Cas où l'allocataire a omis de déclarer certaines ressources - Caractérisation de la bonne foi - Méthode du faisceau d'indices, hors dissimulation manifeste ou omissions dépourvues d'incidence sur le droit de l'intéressé au RSA</w:t>
      </w:r>
    </w:p>
    <w:p w:rsidR="00ED1601" w:rsidRDefault="00ED1601" w:rsidP="00ED1601">
      <w:pPr>
        <w:pStyle w:val="Textebrut"/>
        <w:jc w:val="both"/>
        <w:rPr>
          <w:rFonts w:ascii="Arial" w:hAnsi="Arial" w:cs="Arial"/>
          <w:sz w:val="24"/>
          <w:szCs w:val="24"/>
        </w:rPr>
      </w:pPr>
    </w:p>
    <w:p w:rsidR="00ED1601" w:rsidRDefault="00ED1601" w:rsidP="00ED1601">
      <w:pPr>
        <w:pStyle w:val="Textebrut"/>
        <w:jc w:val="both"/>
        <w:rPr>
          <w:rFonts w:ascii="Arial" w:hAnsi="Arial" w:cs="Arial"/>
          <w:sz w:val="24"/>
          <w:szCs w:val="24"/>
        </w:rPr>
      </w:pPr>
      <w:r>
        <w:rPr>
          <w:rFonts w:ascii="Arial" w:hAnsi="Arial" w:cs="Arial"/>
          <w:sz w:val="24"/>
          <w:szCs w:val="24"/>
        </w:rPr>
        <w:t>04-02-06</w:t>
      </w:r>
    </w:p>
    <w:p w:rsidR="001060B5" w:rsidRDefault="001060B5" w:rsidP="00ED1601">
      <w:pPr>
        <w:pStyle w:val="Textebrut"/>
        <w:jc w:val="both"/>
        <w:rPr>
          <w:rFonts w:ascii="Arial" w:hAnsi="Arial" w:cs="Arial"/>
          <w:sz w:val="24"/>
          <w:szCs w:val="24"/>
        </w:rPr>
      </w:pPr>
    </w:p>
    <w:p w:rsidR="00ED1601" w:rsidRDefault="00ED1601" w:rsidP="00ED1601">
      <w:pPr>
        <w:pStyle w:val="Textebrut"/>
        <w:jc w:val="both"/>
        <w:rPr>
          <w:rFonts w:ascii="Arial" w:hAnsi="Arial" w:cs="Arial"/>
          <w:sz w:val="24"/>
          <w:szCs w:val="24"/>
        </w:rPr>
      </w:pPr>
      <w:r>
        <w:rPr>
          <w:rFonts w:ascii="Arial" w:hAnsi="Arial" w:cs="Arial"/>
          <w:sz w:val="24"/>
          <w:szCs w:val="24"/>
        </w:rPr>
        <w:t>1) Il résulte de l'article L. 262-46 du code de l'action sociale et des familles (CASF) qu’un allocataire du revenu de solidarité active (RSA) ne peut bénéficier d’une remise gracieuse de la dette résultant d’un paiement indu d’allocation, quelle que soit la précarité de sa situation, lorsque l’indu trouve sa cause dans une manœuvre frauduleuse de sa part ou dans une fausse déclaration, laquelle doit s'entendre comme désignant les inexactitudes ou omissions qui procèdent d’une volonté de dissimulation de l'allocataire caractérisant de sa part un manquement à ses obligations déclaratives.</w:t>
      </w:r>
    </w:p>
    <w:p w:rsidR="00ED1601" w:rsidRDefault="00ED1601" w:rsidP="00ED1601">
      <w:pPr>
        <w:pStyle w:val="Textebrut"/>
        <w:jc w:val="both"/>
        <w:rPr>
          <w:rFonts w:ascii="Arial" w:hAnsi="Arial" w:cs="Arial"/>
          <w:sz w:val="24"/>
          <w:szCs w:val="24"/>
        </w:rPr>
      </w:pPr>
    </w:p>
    <w:p w:rsidR="00ED1601" w:rsidRDefault="00ED1601" w:rsidP="00ED1601">
      <w:pPr>
        <w:pStyle w:val="Textebrut"/>
        <w:jc w:val="both"/>
        <w:rPr>
          <w:rFonts w:ascii="Arial" w:hAnsi="Arial" w:cs="Arial"/>
          <w:sz w:val="24"/>
          <w:szCs w:val="24"/>
        </w:rPr>
      </w:pPr>
      <w:r>
        <w:rPr>
          <w:rFonts w:ascii="Arial" w:hAnsi="Arial" w:cs="Arial"/>
          <w:sz w:val="24"/>
          <w:szCs w:val="24"/>
        </w:rPr>
        <w:t xml:space="preserve">2) a) Lorsqu’il statue sur un recours dirigé contre une décision rejetant une demande de remise gracieuse d’un indu de RSA, il appartient au juge administratif d’examiner si une remise gracieuse totale ou partielle est justifiée et de se prononcer lui-même sur la demande en recherchant si, au regard des circonstances de fait dont il est justifié par l'une et l'autre parties à la date de sa propre décision, la situation de précarité du débiteur et sa bonne foi justifient que lui soit accordée une remise. </w:t>
      </w:r>
    </w:p>
    <w:p w:rsidR="00ED1601" w:rsidRDefault="00ED1601" w:rsidP="00ED1601">
      <w:pPr>
        <w:pStyle w:val="Textebrut"/>
        <w:jc w:val="both"/>
        <w:rPr>
          <w:rFonts w:ascii="Arial" w:hAnsi="Arial" w:cs="Arial"/>
          <w:sz w:val="24"/>
          <w:szCs w:val="24"/>
        </w:rPr>
      </w:pPr>
    </w:p>
    <w:p w:rsidR="00ED1601" w:rsidRDefault="00ED1601" w:rsidP="00ED1601">
      <w:pPr>
        <w:pStyle w:val="Textebrut"/>
        <w:jc w:val="both"/>
        <w:rPr>
          <w:rFonts w:ascii="Arial" w:hAnsi="Arial" w:cs="Arial"/>
          <w:sz w:val="24"/>
          <w:szCs w:val="24"/>
        </w:rPr>
      </w:pPr>
      <w:r>
        <w:rPr>
          <w:rFonts w:ascii="Arial" w:hAnsi="Arial" w:cs="Arial"/>
          <w:sz w:val="24"/>
          <w:szCs w:val="24"/>
        </w:rPr>
        <w:t>b) Lorsque l’indu résulte de ce que l’allocataire a omis de déclarer certaines de ses ressources, il y a lieu, pour apprécier la condition de bonne foi de l’intéressé, hors les hypothèses où les omissions déclaratives révèlent une volonté manifeste de dissimulation ou, à l’inverse, portent sur des ressources dépourvues d’incidence sur le droit de l’intéressé au RSA ou sur son montant, de tenir compte de la nature des ressources ainsi omises, de l’information reçue et de la présentation du formulaire de déclaration des ressources, du caractère réitéré ou non de l’omission, des justifications données par l’intéressé ainsi que de toute autre circonstance de nature à établir que l’allocataire pouvait de bonne foi ignorer qu’il était tenu de déclarer les ressources omises. A cet égard, si l’allocataire a pu légitimement, notamment eu égard à la nature du revenu en cause et de l’information reçue, ignorer qu’il était tenu de déclarer les ressources omises, la réitération de l’omission ne saurait alors suffire à caractériser une fausse déclaration.</w:t>
      </w:r>
    </w:p>
    <w:p w:rsidR="00ED1601" w:rsidRDefault="00ED1601" w:rsidP="00ED1601">
      <w:pPr>
        <w:pStyle w:val="Textebrut"/>
        <w:jc w:val="both"/>
        <w:rPr>
          <w:rFonts w:ascii="Arial" w:hAnsi="Arial" w:cs="Arial"/>
          <w:sz w:val="24"/>
          <w:szCs w:val="24"/>
        </w:rPr>
      </w:pPr>
    </w:p>
    <w:p w:rsidR="004019B0" w:rsidRPr="001060B5" w:rsidRDefault="00ED1601" w:rsidP="001060B5">
      <w:pPr>
        <w:pStyle w:val="Textebrut"/>
        <w:jc w:val="both"/>
        <w:rPr>
          <w:rFonts w:ascii="Arial" w:hAnsi="Arial" w:cs="Arial"/>
          <w:sz w:val="24"/>
          <w:szCs w:val="24"/>
        </w:rPr>
      </w:pPr>
      <w:r>
        <w:rPr>
          <w:rFonts w:ascii="Arial" w:hAnsi="Arial" w:cs="Arial"/>
          <w:sz w:val="24"/>
          <w:szCs w:val="24"/>
        </w:rPr>
        <w:t>1. Cf., en précisant, CE, 15 juin 2009, Département de la Manche c/ Mme L, n° 320040, T. p. 633.</w:t>
      </w:r>
      <w:bookmarkStart w:id="0" w:name="_GoBack"/>
      <w:bookmarkEnd w:id="0"/>
    </w:p>
    <w:sectPr w:rsidR="004019B0" w:rsidRPr="00106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01"/>
    <w:rsid w:val="001060B5"/>
    <w:rsid w:val="004019B0"/>
    <w:rsid w:val="00ED16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Textebrut">
    <w:name w:val="Plain Text"/>
    <w:basedOn w:val="Normal"/>
    <w:link w:val="TextebrutCar"/>
    <w:unhideWhenUsed/>
    <w:rsid w:val="00ED1601"/>
    <w:pPr>
      <w:autoSpaceDE w:val="0"/>
      <w:autoSpaceDN w:val="0"/>
      <w:spacing w:after="0" w:line="240" w:lineRule="auto"/>
    </w:pPr>
    <w:rPr>
      <w:rFonts w:ascii="Times New Roman" w:eastAsia="Times New Roman" w:hAnsi="Times New Roman" w:cs="Times New Roman"/>
      <w:sz w:val="20"/>
      <w:szCs w:val="20"/>
      <w:lang w:eastAsia="fr-FR"/>
    </w:rPr>
  </w:style>
  <w:style w:type="character" w:customStyle="1" w:styleId="TextebrutCar">
    <w:name w:val="Texte brut Car"/>
    <w:basedOn w:val="Policepardfaut"/>
    <w:link w:val="Textebrut"/>
    <w:rsid w:val="00ED1601"/>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Textebrut">
    <w:name w:val="Plain Text"/>
    <w:basedOn w:val="Normal"/>
    <w:link w:val="TextebrutCar"/>
    <w:unhideWhenUsed/>
    <w:rsid w:val="00ED1601"/>
    <w:pPr>
      <w:autoSpaceDE w:val="0"/>
      <w:autoSpaceDN w:val="0"/>
      <w:spacing w:after="0" w:line="240" w:lineRule="auto"/>
    </w:pPr>
    <w:rPr>
      <w:rFonts w:ascii="Times New Roman" w:eastAsia="Times New Roman" w:hAnsi="Times New Roman" w:cs="Times New Roman"/>
      <w:sz w:val="20"/>
      <w:szCs w:val="20"/>
      <w:lang w:eastAsia="fr-FR"/>
    </w:rPr>
  </w:style>
  <w:style w:type="character" w:customStyle="1" w:styleId="TextebrutCar">
    <w:name w:val="Texte brut Car"/>
    <w:basedOn w:val="Policepardfaut"/>
    <w:link w:val="Textebrut"/>
    <w:rsid w:val="00ED1601"/>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825956">
      <w:bodyDiv w:val="1"/>
      <w:marLeft w:val="0"/>
      <w:marRight w:val="0"/>
      <w:marTop w:val="0"/>
      <w:marBottom w:val="0"/>
      <w:divBdr>
        <w:top w:val="none" w:sz="0" w:space="0" w:color="auto"/>
        <w:left w:val="none" w:sz="0" w:space="0" w:color="auto"/>
        <w:bottom w:val="none" w:sz="0" w:space="0" w:color="auto"/>
        <w:right w:val="none" w:sz="0" w:space="0" w:color="auto"/>
      </w:divBdr>
    </w:div>
    <w:div w:id="672876238">
      <w:bodyDiv w:val="1"/>
      <w:marLeft w:val="0"/>
      <w:marRight w:val="0"/>
      <w:marTop w:val="0"/>
      <w:marBottom w:val="0"/>
      <w:divBdr>
        <w:top w:val="none" w:sz="0" w:space="0" w:color="auto"/>
        <w:left w:val="none" w:sz="0" w:space="0" w:color="auto"/>
        <w:bottom w:val="none" w:sz="0" w:space="0" w:color="auto"/>
        <w:right w:val="none" w:sz="0" w:space="0" w:color="auto"/>
      </w:divBdr>
    </w:div>
    <w:div w:id="127135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433</Words>
  <Characters>2382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 Antoine (HCFEA)</dc:creator>
  <cp:lastModifiedBy>MATH, Antoine (HCFEA)</cp:lastModifiedBy>
  <cp:revision>2</cp:revision>
  <dcterms:created xsi:type="dcterms:W3CDTF">2017-11-23T12:31:00Z</dcterms:created>
  <dcterms:modified xsi:type="dcterms:W3CDTF">2017-11-23T12:37:00Z</dcterms:modified>
</cp:coreProperties>
</file>