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6EF" w:rsidRPr="0008040F" w:rsidRDefault="00A10AE7" w:rsidP="004229B0">
      <w:pPr>
        <w:spacing w:line="360" w:lineRule="auto"/>
        <w:jc w:val="center"/>
        <w:rPr>
          <w:rFonts w:ascii="Arial" w:hAnsi="Arial" w:cs="Arial"/>
          <w:b/>
        </w:rPr>
      </w:pPr>
      <w:bookmarkStart w:id="0" w:name="_GoBack"/>
      <w:bookmarkEnd w:id="0"/>
      <w:r w:rsidRPr="0008040F">
        <w:rPr>
          <w:rFonts w:ascii="Arial" w:hAnsi="Arial" w:cs="Arial"/>
          <w:b/>
        </w:rPr>
        <w:t>Le DALO,</w:t>
      </w:r>
      <w:r w:rsidR="00617B49" w:rsidRPr="0008040F">
        <w:rPr>
          <w:rFonts w:ascii="Arial" w:hAnsi="Arial" w:cs="Arial"/>
          <w:b/>
        </w:rPr>
        <w:t xml:space="preserve"> un droit au logement vraiment « opposable » ?</w:t>
      </w:r>
    </w:p>
    <w:p w:rsidR="00617B49" w:rsidRPr="0008040F" w:rsidRDefault="00617B49" w:rsidP="004229B0">
      <w:pPr>
        <w:spacing w:line="360" w:lineRule="auto"/>
        <w:jc w:val="center"/>
        <w:rPr>
          <w:rFonts w:ascii="Arial" w:hAnsi="Arial" w:cs="Arial"/>
          <w:b/>
        </w:rPr>
      </w:pPr>
      <w:r w:rsidRPr="0008040F">
        <w:rPr>
          <w:rFonts w:ascii="Arial" w:hAnsi="Arial" w:cs="Arial"/>
          <w:b/>
        </w:rPr>
        <w:t>Commentaire de</w:t>
      </w:r>
      <w:r w:rsidR="0045651F" w:rsidRPr="0008040F">
        <w:rPr>
          <w:rFonts w:ascii="Arial" w:hAnsi="Arial" w:cs="Arial"/>
          <w:b/>
        </w:rPr>
        <w:t xml:space="preserve"> l’arrêt </w:t>
      </w:r>
      <w:proofErr w:type="spellStart"/>
      <w:r w:rsidR="0045651F" w:rsidRPr="0008040F">
        <w:rPr>
          <w:rFonts w:ascii="Arial" w:hAnsi="Arial" w:cs="Arial"/>
          <w:b/>
          <w:i/>
        </w:rPr>
        <w:t>Tchokontio</w:t>
      </w:r>
      <w:proofErr w:type="spellEnd"/>
      <w:r w:rsidR="0045651F" w:rsidRPr="0008040F">
        <w:rPr>
          <w:rFonts w:ascii="Arial" w:hAnsi="Arial" w:cs="Arial"/>
          <w:b/>
          <w:i/>
        </w:rPr>
        <w:t xml:space="preserve"> </w:t>
      </w:r>
      <w:proofErr w:type="spellStart"/>
      <w:r w:rsidR="0045651F" w:rsidRPr="0008040F">
        <w:rPr>
          <w:rFonts w:ascii="Arial" w:hAnsi="Arial" w:cs="Arial"/>
          <w:b/>
          <w:i/>
        </w:rPr>
        <w:t>Happi</w:t>
      </w:r>
      <w:proofErr w:type="spellEnd"/>
      <w:r w:rsidR="0045651F" w:rsidRPr="0008040F">
        <w:rPr>
          <w:rFonts w:ascii="Arial" w:hAnsi="Arial" w:cs="Arial"/>
          <w:b/>
        </w:rPr>
        <w:t xml:space="preserve"> de la Cour européenne des droits de l’homme</w:t>
      </w:r>
    </w:p>
    <w:p w:rsidR="00E876EF" w:rsidRPr="0008040F" w:rsidRDefault="00E876EF" w:rsidP="004229B0">
      <w:pPr>
        <w:spacing w:line="360" w:lineRule="auto"/>
        <w:jc w:val="center"/>
        <w:rPr>
          <w:rFonts w:ascii="Arial" w:hAnsi="Arial" w:cs="Arial"/>
          <w:i/>
        </w:rPr>
      </w:pPr>
    </w:p>
    <w:p w:rsidR="00E876EF" w:rsidRPr="0008040F" w:rsidRDefault="00E876EF" w:rsidP="004229B0">
      <w:pPr>
        <w:spacing w:line="360" w:lineRule="auto"/>
        <w:jc w:val="center"/>
        <w:rPr>
          <w:rFonts w:ascii="Arial" w:hAnsi="Arial" w:cs="Arial"/>
          <w:i/>
        </w:rPr>
      </w:pPr>
      <w:r w:rsidRPr="0008040F">
        <w:rPr>
          <w:rFonts w:ascii="Arial" w:hAnsi="Arial" w:cs="Arial"/>
          <w:i/>
        </w:rPr>
        <w:t>N</w:t>
      </w:r>
      <w:r w:rsidR="00C95164" w:rsidRPr="0008040F">
        <w:rPr>
          <w:rFonts w:ascii="Arial" w:hAnsi="Arial" w:cs="Arial"/>
          <w:i/>
        </w:rPr>
        <w:t>icolas BERNARD, professeur à l’U</w:t>
      </w:r>
      <w:r w:rsidRPr="0008040F">
        <w:rPr>
          <w:rFonts w:ascii="Arial" w:hAnsi="Arial" w:cs="Arial"/>
          <w:i/>
        </w:rPr>
        <w:t>niversité Saint-Louis — Bruxelles</w:t>
      </w:r>
    </w:p>
    <w:p w:rsidR="00ED2CF0" w:rsidRPr="0008040F" w:rsidRDefault="00ED2CF0" w:rsidP="004229B0">
      <w:pPr>
        <w:spacing w:line="360" w:lineRule="auto"/>
        <w:jc w:val="both"/>
        <w:rPr>
          <w:rFonts w:ascii="Arial" w:hAnsi="Arial" w:cs="Arial"/>
          <w:b/>
        </w:rPr>
      </w:pPr>
    </w:p>
    <w:p w:rsidR="002D22FB" w:rsidRPr="0008040F" w:rsidRDefault="002D22FB" w:rsidP="004229B0">
      <w:pPr>
        <w:spacing w:line="360" w:lineRule="auto"/>
        <w:jc w:val="both"/>
        <w:rPr>
          <w:rFonts w:ascii="Arial" w:hAnsi="Arial" w:cs="Arial"/>
          <w:b/>
        </w:rPr>
      </w:pPr>
    </w:p>
    <w:p w:rsidR="002D22FB" w:rsidRPr="0008040F" w:rsidRDefault="002D22FB" w:rsidP="002D22FB">
      <w:pPr>
        <w:spacing w:line="360" w:lineRule="auto"/>
        <w:jc w:val="both"/>
        <w:rPr>
          <w:rFonts w:ascii="Arial" w:hAnsi="Arial" w:cs="Arial"/>
          <w:u w:val="single"/>
        </w:rPr>
      </w:pPr>
      <w:r w:rsidRPr="0008040F">
        <w:rPr>
          <w:rFonts w:ascii="Arial" w:hAnsi="Arial" w:cs="Arial"/>
          <w:u w:val="single"/>
        </w:rPr>
        <w:t>Introduction</w:t>
      </w:r>
    </w:p>
    <w:p w:rsidR="001026F4" w:rsidRPr="0008040F" w:rsidRDefault="001026F4" w:rsidP="004229B0">
      <w:pPr>
        <w:spacing w:line="360" w:lineRule="auto"/>
        <w:jc w:val="both"/>
        <w:rPr>
          <w:rFonts w:ascii="Arial" w:hAnsi="Arial" w:cs="Arial"/>
          <w:b/>
        </w:rPr>
      </w:pPr>
    </w:p>
    <w:p w:rsidR="00570744" w:rsidRPr="0008040F" w:rsidRDefault="00E876EF" w:rsidP="004229B0">
      <w:pPr>
        <w:spacing w:line="360" w:lineRule="auto"/>
        <w:ind w:firstLine="567"/>
        <w:jc w:val="both"/>
        <w:rPr>
          <w:rFonts w:ascii="Arial" w:hAnsi="Arial" w:cs="Arial"/>
        </w:rPr>
      </w:pPr>
      <w:r w:rsidRPr="0008040F">
        <w:rPr>
          <w:rFonts w:ascii="Arial" w:hAnsi="Arial" w:cs="Arial"/>
          <w:b/>
        </w:rPr>
        <w:t xml:space="preserve">1. </w:t>
      </w:r>
      <w:r w:rsidR="00617B49" w:rsidRPr="0008040F">
        <w:rPr>
          <w:rFonts w:ascii="Arial" w:hAnsi="Arial" w:cs="Arial"/>
        </w:rPr>
        <w:t xml:space="preserve">Inévitable… Il était inévitable qu’un dispositif aussi ambitieux </w:t>
      </w:r>
      <w:r w:rsidR="00515559" w:rsidRPr="0008040F">
        <w:rPr>
          <w:rFonts w:ascii="Arial" w:hAnsi="Arial" w:cs="Arial"/>
        </w:rPr>
        <w:t xml:space="preserve">— </w:t>
      </w:r>
      <w:r w:rsidR="00617B49" w:rsidRPr="0008040F">
        <w:rPr>
          <w:rFonts w:ascii="Arial" w:hAnsi="Arial" w:cs="Arial"/>
        </w:rPr>
        <w:t>et hybride</w:t>
      </w:r>
      <w:r w:rsidR="00515559" w:rsidRPr="0008040F">
        <w:rPr>
          <w:rFonts w:ascii="Arial" w:hAnsi="Arial" w:cs="Arial"/>
        </w:rPr>
        <w:t xml:space="preserve"> ! — </w:t>
      </w:r>
      <w:r w:rsidR="00617B49" w:rsidRPr="0008040F">
        <w:rPr>
          <w:rFonts w:ascii="Arial" w:hAnsi="Arial" w:cs="Arial"/>
        </w:rPr>
        <w:t xml:space="preserve">que le droit au logement opposable (DALO) en vigueur depuis </w:t>
      </w:r>
      <w:r w:rsidR="004A2EB3" w:rsidRPr="0008040F">
        <w:rPr>
          <w:rFonts w:ascii="Arial" w:hAnsi="Arial" w:cs="Arial"/>
        </w:rPr>
        <w:t>de nombreuses années</w:t>
      </w:r>
      <w:r w:rsidR="00617B49" w:rsidRPr="0008040F">
        <w:rPr>
          <w:rFonts w:ascii="Arial" w:hAnsi="Arial" w:cs="Arial"/>
        </w:rPr>
        <w:t xml:space="preserve"> en France</w:t>
      </w:r>
      <w:r w:rsidR="00272475" w:rsidRPr="0008040F">
        <w:rPr>
          <w:rFonts w:ascii="Arial" w:hAnsi="Arial" w:cs="Arial"/>
        </w:rPr>
        <w:t xml:space="preserve"> </w:t>
      </w:r>
      <w:r w:rsidR="00617B49" w:rsidRPr="0008040F">
        <w:rPr>
          <w:rFonts w:ascii="Arial" w:hAnsi="Arial" w:cs="Arial"/>
        </w:rPr>
        <w:t xml:space="preserve">prenne un jour le chemin de Strasbourg, pour s’y voir confronté aux divers droits fondamentaux qu’il ne manque pas d’éprouver. Et l’examen avait tout son sens </w:t>
      </w:r>
      <w:r w:rsidR="00515559" w:rsidRPr="0008040F">
        <w:rPr>
          <w:rFonts w:ascii="Arial" w:hAnsi="Arial" w:cs="Arial"/>
        </w:rPr>
        <w:t xml:space="preserve">manifestement </w:t>
      </w:r>
      <w:r w:rsidR="00617B49" w:rsidRPr="0008040F">
        <w:rPr>
          <w:rFonts w:ascii="Arial" w:hAnsi="Arial" w:cs="Arial"/>
        </w:rPr>
        <w:t>puisque</w:t>
      </w:r>
      <w:r w:rsidR="00B92DDA" w:rsidRPr="0008040F">
        <w:rPr>
          <w:rFonts w:ascii="Arial" w:hAnsi="Arial" w:cs="Arial"/>
        </w:rPr>
        <w:t>, dans son arrêt du 9 avril 2015,</w:t>
      </w:r>
      <w:r w:rsidR="00617B49" w:rsidRPr="0008040F">
        <w:rPr>
          <w:rFonts w:ascii="Arial" w:hAnsi="Arial" w:cs="Arial"/>
        </w:rPr>
        <w:t xml:space="preserve"> la Cour européenne des droits de l’homme </w:t>
      </w:r>
      <w:r w:rsidR="00515559" w:rsidRPr="0008040F">
        <w:rPr>
          <w:rFonts w:ascii="Arial" w:hAnsi="Arial" w:cs="Arial"/>
        </w:rPr>
        <w:t>a vu</w:t>
      </w:r>
      <w:r w:rsidR="00617B49" w:rsidRPr="0008040F">
        <w:rPr>
          <w:rFonts w:ascii="Arial" w:hAnsi="Arial" w:cs="Arial"/>
        </w:rPr>
        <w:t xml:space="preserve"> dans le dispositif une violation de l’article 6 de la Convention proclamant le droit à un procès équitable ; en revanche, elle l’</w:t>
      </w:r>
      <w:r w:rsidR="00515559" w:rsidRPr="0008040F">
        <w:rPr>
          <w:rFonts w:ascii="Arial" w:hAnsi="Arial" w:cs="Arial"/>
        </w:rPr>
        <w:t xml:space="preserve">a exonéré </w:t>
      </w:r>
      <w:r w:rsidR="00617B49" w:rsidRPr="0008040F">
        <w:rPr>
          <w:rFonts w:ascii="Arial" w:hAnsi="Arial" w:cs="Arial"/>
        </w:rPr>
        <w:t>du grief de méconnaissance de l’article premier du premier protocole additionnel relatif au droit au respect des biens.</w:t>
      </w:r>
      <w:r w:rsidR="008412CC" w:rsidRPr="0008040F">
        <w:rPr>
          <w:rFonts w:ascii="Arial" w:hAnsi="Arial" w:cs="Arial"/>
        </w:rPr>
        <w:t xml:space="preserve"> Ces deux points formeront l’épine dor</w:t>
      </w:r>
      <w:r w:rsidR="00515559" w:rsidRPr="0008040F">
        <w:rPr>
          <w:rFonts w:ascii="Arial" w:hAnsi="Arial" w:cs="Arial"/>
        </w:rPr>
        <w:t xml:space="preserve">sale du présent commentaire ; </w:t>
      </w:r>
      <w:r w:rsidR="008412CC" w:rsidRPr="0008040F">
        <w:rPr>
          <w:rFonts w:ascii="Arial" w:hAnsi="Arial" w:cs="Arial"/>
        </w:rPr>
        <w:t xml:space="preserve">en guise de prélude, un exposé </w:t>
      </w:r>
      <w:r w:rsidR="00B92DDA" w:rsidRPr="0008040F">
        <w:rPr>
          <w:rFonts w:ascii="Arial" w:hAnsi="Arial" w:cs="Arial"/>
        </w:rPr>
        <w:t>(</w:t>
      </w:r>
      <w:r w:rsidR="008412CC" w:rsidRPr="0008040F">
        <w:rPr>
          <w:rFonts w:ascii="Arial" w:hAnsi="Arial" w:cs="Arial"/>
        </w:rPr>
        <w:t>succinct</w:t>
      </w:r>
      <w:r w:rsidR="00B92DDA" w:rsidRPr="0008040F">
        <w:rPr>
          <w:rFonts w:ascii="Arial" w:hAnsi="Arial" w:cs="Arial"/>
        </w:rPr>
        <w:t>) de la loi française s’indique.</w:t>
      </w:r>
    </w:p>
    <w:p w:rsidR="00E65340" w:rsidRPr="0008040F" w:rsidRDefault="00E65340" w:rsidP="004229B0">
      <w:pPr>
        <w:spacing w:line="360" w:lineRule="auto"/>
        <w:jc w:val="both"/>
        <w:rPr>
          <w:rFonts w:ascii="Arial" w:hAnsi="Arial" w:cs="Arial"/>
        </w:rPr>
      </w:pPr>
    </w:p>
    <w:p w:rsidR="008412CC" w:rsidRPr="0008040F" w:rsidRDefault="008412CC" w:rsidP="004229B0">
      <w:pPr>
        <w:spacing w:line="360" w:lineRule="auto"/>
        <w:jc w:val="both"/>
        <w:rPr>
          <w:rFonts w:ascii="Arial" w:hAnsi="Arial" w:cs="Arial"/>
        </w:rPr>
      </w:pPr>
    </w:p>
    <w:p w:rsidR="008412CC" w:rsidRPr="0008040F" w:rsidRDefault="008412CC" w:rsidP="004229B0">
      <w:pPr>
        <w:spacing w:line="360" w:lineRule="auto"/>
        <w:jc w:val="both"/>
        <w:rPr>
          <w:rFonts w:ascii="Arial" w:hAnsi="Arial" w:cs="Arial"/>
        </w:rPr>
      </w:pPr>
      <w:r w:rsidRPr="0008040F">
        <w:rPr>
          <w:rFonts w:ascii="Arial" w:hAnsi="Arial" w:cs="Arial"/>
        </w:rPr>
        <w:t xml:space="preserve">1. </w:t>
      </w:r>
      <w:r w:rsidRPr="0008040F">
        <w:rPr>
          <w:rFonts w:ascii="Arial" w:hAnsi="Arial" w:cs="Arial"/>
          <w:u w:val="single"/>
        </w:rPr>
        <w:t>Le DALO</w:t>
      </w:r>
    </w:p>
    <w:p w:rsidR="008412CC" w:rsidRPr="0008040F" w:rsidRDefault="008412CC" w:rsidP="004229B0">
      <w:pPr>
        <w:spacing w:line="360" w:lineRule="auto"/>
        <w:jc w:val="both"/>
        <w:rPr>
          <w:rFonts w:ascii="Arial" w:hAnsi="Arial" w:cs="Arial"/>
        </w:rPr>
      </w:pPr>
    </w:p>
    <w:p w:rsidR="00E65340" w:rsidRPr="0008040F" w:rsidRDefault="00E65340" w:rsidP="004229B0">
      <w:pPr>
        <w:spacing w:line="360" w:lineRule="auto"/>
        <w:ind w:firstLine="567"/>
        <w:jc w:val="both"/>
        <w:rPr>
          <w:rFonts w:ascii="Arial" w:hAnsi="Arial" w:cs="Arial"/>
          <w:iCs/>
        </w:rPr>
      </w:pPr>
      <w:r w:rsidRPr="0008040F">
        <w:rPr>
          <w:rFonts w:ascii="Arial" w:hAnsi="Arial" w:cs="Arial"/>
          <w:b/>
        </w:rPr>
        <w:t xml:space="preserve">2. </w:t>
      </w:r>
      <w:r w:rsidR="002B44B4" w:rsidRPr="0008040F">
        <w:rPr>
          <w:rFonts w:ascii="Arial" w:hAnsi="Arial" w:cs="Arial"/>
        </w:rPr>
        <w:t>Au mitan des années 2000, l</w:t>
      </w:r>
      <w:r w:rsidR="008412CC" w:rsidRPr="0008040F">
        <w:rPr>
          <w:rFonts w:ascii="Arial" w:hAnsi="Arial" w:cs="Arial"/>
        </w:rPr>
        <w:t>a France</w:t>
      </w:r>
      <w:r w:rsidR="004A2EB3" w:rsidRPr="0008040F">
        <w:rPr>
          <w:rFonts w:ascii="Arial" w:hAnsi="Arial" w:cs="Arial"/>
        </w:rPr>
        <w:t xml:space="preserve"> connaissai</w:t>
      </w:r>
      <w:r w:rsidR="008412CC" w:rsidRPr="0008040F">
        <w:rPr>
          <w:rFonts w:ascii="Arial" w:hAnsi="Arial" w:cs="Arial"/>
        </w:rPr>
        <w:t xml:space="preserve">t </w:t>
      </w:r>
      <w:r w:rsidR="002B44B4" w:rsidRPr="0008040F">
        <w:rPr>
          <w:rFonts w:ascii="Arial" w:hAnsi="Arial" w:cs="Arial"/>
        </w:rPr>
        <w:t xml:space="preserve">déjà </w:t>
      </w:r>
      <w:r w:rsidR="00655B6D" w:rsidRPr="0008040F">
        <w:rPr>
          <w:rFonts w:ascii="Arial" w:hAnsi="Arial" w:cs="Arial"/>
        </w:rPr>
        <w:t>pléthore de législations</w:t>
      </w:r>
      <w:r w:rsidR="00655B6D" w:rsidRPr="0008040F">
        <w:rPr>
          <w:rStyle w:val="Appelnotedebasdep"/>
          <w:rFonts w:ascii="Arial" w:hAnsi="Arial" w:cs="Arial"/>
        </w:rPr>
        <w:footnoteReference w:id="1"/>
      </w:r>
      <w:r w:rsidR="008412CC" w:rsidRPr="0008040F">
        <w:rPr>
          <w:rFonts w:ascii="Arial" w:hAnsi="Arial" w:cs="Arial"/>
        </w:rPr>
        <w:t xml:space="preserve"> </w:t>
      </w:r>
      <w:r w:rsidR="00655B6D" w:rsidRPr="0008040F">
        <w:rPr>
          <w:rFonts w:ascii="Arial" w:hAnsi="Arial" w:cs="Arial"/>
        </w:rPr>
        <w:t>et de décisions de justice</w:t>
      </w:r>
      <w:r w:rsidR="00655B6D" w:rsidRPr="0008040F">
        <w:rPr>
          <w:rStyle w:val="Appelnotedebasdep"/>
          <w:rFonts w:ascii="Arial" w:hAnsi="Arial" w:cs="Arial"/>
        </w:rPr>
        <w:footnoteReference w:id="2"/>
      </w:r>
      <w:r w:rsidR="00655B6D" w:rsidRPr="0008040F">
        <w:rPr>
          <w:rFonts w:ascii="Arial" w:hAnsi="Arial" w:cs="Arial"/>
        </w:rPr>
        <w:t xml:space="preserve"> </w:t>
      </w:r>
      <w:r w:rsidR="008412CC" w:rsidRPr="0008040F">
        <w:rPr>
          <w:rFonts w:ascii="Arial" w:hAnsi="Arial" w:cs="Arial"/>
        </w:rPr>
        <w:t xml:space="preserve">consacrant </w:t>
      </w:r>
      <w:r w:rsidR="00655B6D" w:rsidRPr="0008040F">
        <w:rPr>
          <w:rFonts w:ascii="Arial" w:hAnsi="Arial" w:cs="Arial"/>
        </w:rPr>
        <w:t xml:space="preserve">(sous une forme ou une autre) </w:t>
      </w:r>
      <w:r w:rsidR="008412CC" w:rsidRPr="0008040F">
        <w:rPr>
          <w:rFonts w:ascii="Arial" w:hAnsi="Arial" w:cs="Arial"/>
        </w:rPr>
        <w:t xml:space="preserve">le </w:t>
      </w:r>
      <w:r w:rsidR="008412CC" w:rsidRPr="0008040F">
        <w:rPr>
          <w:rFonts w:ascii="Arial" w:hAnsi="Arial" w:cs="Arial"/>
        </w:rPr>
        <w:lastRenderedPageBreak/>
        <w:t>droit au logement</w:t>
      </w:r>
      <w:r w:rsidR="00655B6D" w:rsidRPr="0008040F">
        <w:rPr>
          <w:rFonts w:ascii="Arial" w:hAnsi="Arial" w:cs="Arial"/>
        </w:rPr>
        <w:t xml:space="preserve">. Pourtant, </w:t>
      </w:r>
      <w:r w:rsidR="00BD0568" w:rsidRPr="0008040F">
        <w:rPr>
          <w:rFonts w:ascii="Arial" w:hAnsi="Arial" w:cs="Arial"/>
        </w:rPr>
        <w:t>dans la foulée de l’Ecosse</w:t>
      </w:r>
      <w:r w:rsidR="00BD0568" w:rsidRPr="0008040F">
        <w:rPr>
          <w:rStyle w:val="Appelnotedebasdep"/>
          <w:rFonts w:ascii="Arial" w:hAnsi="Arial" w:cs="Arial"/>
        </w:rPr>
        <w:footnoteReference w:id="3"/>
      </w:r>
      <w:r w:rsidR="007159FD" w:rsidRPr="0008040F">
        <w:rPr>
          <w:rFonts w:ascii="Arial" w:hAnsi="Arial" w:cs="Arial"/>
        </w:rPr>
        <w:t xml:space="preserve">, l’État français </w:t>
      </w:r>
      <w:r w:rsidR="00BD0568" w:rsidRPr="0008040F">
        <w:rPr>
          <w:rFonts w:ascii="Arial" w:hAnsi="Arial" w:cs="Arial"/>
        </w:rPr>
        <w:t>décidait de promulguer</w:t>
      </w:r>
      <w:r w:rsidR="007159FD" w:rsidRPr="0008040F">
        <w:rPr>
          <w:rFonts w:ascii="Arial" w:hAnsi="Arial" w:cs="Arial"/>
        </w:rPr>
        <w:t xml:space="preserve"> le 5 mars 2007 une </w:t>
      </w:r>
      <w:r w:rsidR="00E025DF" w:rsidRPr="0008040F">
        <w:rPr>
          <w:rFonts w:ascii="Arial" w:hAnsi="Arial" w:cs="Arial"/>
        </w:rPr>
        <w:t>loi</w:t>
      </w:r>
      <w:r w:rsidR="007159FD" w:rsidRPr="0008040F">
        <w:rPr>
          <w:rFonts w:ascii="Arial" w:hAnsi="Arial" w:cs="Arial"/>
        </w:rPr>
        <w:t xml:space="preserve"> instaurant un droit au logement dit </w:t>
      </w:r>
      <w:r w:rsidR="007159FD" w:rsidRPr="0008040F">
        <w:rPr>
          <w:rFonts w:ascii="Arial" w:hAnsi="Arial" w:cs="Arial"/>
          <w:i/>
          <w:iCs/>
        </w:rPr>
        <w:t>opposable</w:t>
      </w:r>
      <w:r w:rsidR="007159FD" w:rsidRPr="0008040F">
        <w:rPr>
          <w:rStyle w:val="Appelnotedebasdep"/>
          <w:rFonts w:ascii="Arial" w:hAnsi="Arial" w:cs="Arial"/>
        </w:rPr>
        <w:footnoteReference w:id="4"/>
      </w:r>
      <w:r w:rsidR="007159FD" w:rsidRPr="0008040F">
        <w:rPr>
          <w:rFonts w:ascii="Arial" w:hAnsi="Arial" w:cs="Arial"/>
          <w:i/>
          <w:iCs/>
        </w:rPr>
        <w:t>.</w:t>
      </w:r>
      <w:r w:rsidR="001D3B58" w:rsidRPr="0008040F">
        <w:rPr>
          <w:rFonts w:ascii="Arial" w:hAnsi="Arial" w:cs="Arial"/>
          <w:iCs/>
        </w:rPr>
        <w:t xml:space="preserve"> Une innovation normative de premier ordre devait bien justifier l’adoption d’un nouveau texte </w:t>
      </w:r>
      <w:r w:rsidR="00515559" w:rsidRPr="0008040F">
        <w:rPr>
          <w:rFonts w:ascii="Arial" w:hAnsi="Arial" w:cs="Arial"/>
          <w:iCs/>
        </w:rPr>
        <w:t>de ce type…</w:t>
      </w:r>
      <w:r w:rsidR="00BD0568" w:rsidRPr="0008040F">
        <w:rPr>
          <w:rFonts w:ascii="Arial" w:hAnsi="Arial" w:cs="Arial"/>
          <w:iCs/>
        </w:rPr>
        <w:t xml:space="preserve"> </w:t>
      </w:r>
      <w:r w:rsidR="00BD0568" w:rsidRPr="0008040F">
        <w:rPr>
          <w:rFonts w:ascii="Arial" w:hAnsi="Arial" w:cs="Arial"/>
        </w:rPr>
        <w:t xml:space="preserve">et en un temps record </w:t>
      </w:r>
      <w:r w:rsidR="004A2EB3" w:rsidRPr="0008040F">
        <w:rPr>
          <w:rFonts w:ascii="Arial" w:hAnsi="Arial" w:cs="Arial"/>
        </w:rPr>
        <w:t xml:space="preserve">encore </w:t>
      </w:r>
      <w:r w:rsidR="00BD0568" w:rsidRPr="0008040F">
        <w:rPr>
          <w:rFonts w:ascii="Arial" w:hAnsi="Arial" w:cs="Arial"/>
        </w:rPr>
        <w:t xml:space="preserve">(deux ou trois mois à peine ont séparé l’injonction donnée par la président </w:t>
      </w:r>
      <w:r w:rsidR="004A2EB3" w:rsidRPr="0008040F">
        <w:rPr>
          <w:rFonts w:ascii="Arial" w:hAnsi="Arial" w:cs="Arial"/>
        </w:rPr>
        <w:t>de</w:t>
      </w:r>
      <w:r w:rsidR="00BD0568" w:rsidRPr="0008040F">
        <w:rPr>
          <w:rFonts w:ascii="Arial" w:hAnsi="Arial" w:cs="Arial"/>
        </w:rPr>
        <w:t xml:space="preserve"> sa matérialisation normative)</w:t>
      </w:r>
      <w:r w:rsidR="00515559" w:rsidRPr="0008040F">
        <w:rPr>
          <w:rFonts w:ascii="Arial" w:hAnsi="Arial" w:cs="Arial"/>
          <w:iCs/>
        </w:rPr>
        <w:t>. Cette innovation</w:t>
      </w:r>
      <w:r w:rsidR="001D3B58" w:rsidRPr="0008040F">
        <w:rPr>
          <w:rFonts w:ascii="Arial" w:hAnsi="Arial" w:cs="Arial"/>
          <w:iCs/>
        </w:rPr>
        <w:t xml:space="preserve"> est bien pr</w:t>
      </w:r>
      <w:r w:rsidR="00515559" w:rsidRPr="0008040F">
        <w:rPr>
          <w:rFonts w:ascii="Arial" w:hAnsi="Arial" w:cs="Arial"/>
          <w:iCs/>
        </w:rPr>
        <w:t>ésente</w:t>
      </w:r>
      <w:r w:rsidR="001D3B58" w:rsidRPr="0008040F">
        <w:rPr>
          <w:rFonts w:ascii="Arial" w:hAnsi="Arial" w:cs="Arial"/>
          <w:iCs/>
        </w:rPr>
        <w:t xml:space="preserve"> et</w:t>
      </w:r>
      <w:r w:rsidR="00515559" w:rsidRPr="0008040F">
        <w:rPr>
          <w:rFonts w:ascii="Arial" w:hAnsi="Arial" w:cs="Arial"/>
          <w:iCs/>
        </w:rPr>
        <w:t>, précisément,</w:t>
      </w:r>
      <w:r w:rsidR="001D3B58" w:rsidRPr="0008040F">
        <w:rPr>
          <w:rFonts w:ascii="Arial" w:hAnsi="Arial" w:cs="Arial"/>
          <w:iCs/>
        </w:rPr>
        <w:t xml:space="preserve"> prend la forme de cette opposabilité qui désormais flanque le droit au logement.</w:t>
      </w:r>
    </w:p>
    <w:p w:rsidR="00BD0568" w:rsidRPr="0008040F" w:rsidRDefault="00BD0568" w:rsidP="004229B0">
      <w:pPr>
        <w:spacing w:line="360" w:lineRule="auto"/>
        <w:ind w:firstLine="567"/>
        <w:jc w:val="both"/>
        <w:rPr>
          <w:rFonts w:ascii="Arial" w:hAnsi="Arial" w:cs="Arial"/>
          <w:iCs/>
        </w:rPr>
      </w:pPr>
    </w:p>
    <w:p w:rsidR="00BD0568" w:rsidRPr="0008040F" w:rsidRDefault="00515559" w:rsidP="004229B0">
      <w:pPr>
        <w:spacing w:line="360" w:lineRule="auto"/>
        <w:ind w:firstLine="567"/>
        <w:jc w:val="both"/>
        <w:rPr>
          <w:rFonts w:ascii="Arial" w:hAnsi="Arial" w:cs="Arial"/>
        </w:rPr>
      </w:pPr>
      <w:r w:rsidRPr="0008040F">
        <w:rPr>
          <w:rFonts w:ascii="Arial" w:hAnsi="Arial" w:cs="Arial"/>
          <w:b/>
          <w:iCs/>
        </w:rPr>
        <w:t xml:space="preserve">3. </w:t>
      </w:r>
      <w:r w:rsidR="00BD0568" w:rsidRPr="0008040F">
        <w:rPr>
          <w:rFonts w:ascii="Arial" w:hAnsi="Arial" w:cs="Arial"/>
          <w:iCs/>
        </w:rPr>
        <w:t>Le dispositif DALO ayant déjà été largement commenté</w:t>
      </w:r>
      <w:r w:rsidR="00BD0568" w:rsidRPr="0008040F">
        <w:rPr>
          <w:rFonts w:ascii="Arial" w:hAnsi="Arial" w:cs="Arial"/>
          <w:vertAlign w:val="superscript"/>
        </w:rPr>
        <w:footnoteReference w:id="5"/>
      </w:r>
      <w:r w:rsidR="00BD0568" w:rsidRPr="0008040F">
        <w:rPr>
          <w:rFonts w:ascii="Arial" w:hAnsi="Arial" w:cs="Arial"/>
          <w:iCs/>
        </w:rPr>
        <w:t xml:space="preserve">, on se </w:t>
      </w:r>
      <w:r w:rsidR="00A10AE7" w:rsidRPr="0008040F">
        <w:rPr>
          <w:rFonts w:ascii="Arial" w:hAnsi="Arial" w:cs="Arial"/>
          <w:iCs/>
        </w:rPr>
        <w:t>contentera</w:t>
      </w:r>
      <w:r w:rsidR="00BD0568" w:rsidRPr="0008040F">
        <w:rPr>
          <w:rFonts w:ascii="Arial" w:hAnsi="Arial" w:cs="Arial"/>
          <w:iCs/>
        </w:rPr>
        <w:t xml:space="preserve"> ici d’en retracer les lignes de force</w:t>
      </w:r>
      <w:r w:rsidRPr="0008040F">
        <w:rPr>
          <w:rStyle w:val="Appelnotedebasdep"/>
          <w:rFonts w:ascii="Arial" w:hAnsi="Arial" w:cs="Arial"/>
          <w:iCs/>
        </w:rPr>
        <w:footnoteReference w:id="6"/>
      </w:r>
      <w:r w:rsidR="00BD0568" w:rsidRPr="0008040F">
        <w:rPr>
          <w:rFonts w:ascii="Arial" w:hAnsi="Arial" w:cs="Arial"/>
          <w:iCs/>
        </w:rPr>
        <w:t>.</w:t>
      </w:r>
    </w:p>
    <w:p w:rsidR="00515559" w:rsidRPr="0008040F" w:rsidRDefault="00515559" w:rsidP="004229B0">
      <w:pPr>
        <w:spacing w:line="360" w:lineRule="auto"/>
        <w:ind w:firstLine="620"/>
        <w:jc w:val="both"/>
        <w:rPr>
          <w:rFonts w:ascii="Arial" w:hAnsi="Arial" w:cs="Arial"/>
        </w:rPr>
      </w:pPr>
      <w:r w:rsidRPr="0008040F">
        <w:rPr>
          <w:rFonts w:ascii="Arial" w:hAnsi="Arial" w:cs="Arial"/>
        </w:rPr>
        <w:t xml:space="preserve">Tout </w:t>
      </w:r>
      <w:r w:rsidR="00AD4A7C" w:rsidRPr="0008040F">
        <w:rPr>
          <w:rFonts w:ascii="Arial" w:hAnsi="Arial" w:cs="Arial"/>
        </w:rPr>
        <w:t>demandeur d’un logement social qui</w:t>
      </w:r>
      <w:r w:rsidR="004A2EB3" w:rsidRPr="0008040F">
        <w:rPr>
          <w:rFonts w:ascii="Arial" w:hAnsi="Arial" w:cs="Arial"/>
        </w:rPr>
        <w:t>, dans un délai fixé par arrêté du représentant de l'État dans le département</w:t>
      </w:r>
      <w:r w:rsidR="004A2EB3" w:rsidRPr="0008040F">
        <w:rPr>
          <w:rStyle w:val="Appelnotedebasdep"/>
          <w:rFonts w:ascii="Arial" w:hAnsi="Arial" w:cs="Arial"/>
        </w:rPr>
        <w:footnoteReference w:id="7"/>
      </w:r>
      <w:r w:rsidR="004A2EB3" w:rsidRPr="0008040F">
        <w:rPr>
          <w:rFonts w:ascii="Arial" w:hAnsi="Arial" w:cs="Arial"/>
        </w:rPr>
        <w:t>,</w:t>
      </w:r>
      <w:r w:rsidRPr="0008040F">
        <w:rPr>
          <w:rFonts w:ascii="Arial" w:hAnsi="Arial" w:cs="Arial"/>
        </w:rPr>
        <w:t xml:space="preserve"> n'a reçu "aucune proposition adaptée" est fondé à saisir</w:t>
      </w:r>
      <w:r w:rsidR="004A2EB3" w:rsidRPr="0008040F">
        <w:rPr>
          <w:rFonts w:ascii="Arial" w:hAnsi="Arial" w:cs="Arial"/>
        </w:rPr>
        <w:t xml:space="preserve"> une "commission de médiation" ; c</w:t>
      </w:r>
      <w:r w:rsidR="00056ED0" w:rsidRPr="0008040F">
        <w:rPr>
          <w:rFonts w:ascii="Arial" w:hAnsi="Arial" w:cs="Arial"/>
        </w:rPr>
        <w:t>elle-ci regroupe</w:t>
      </w:r>
      <w:r w:rsidRPr="0008040F">
        <w:rPr>
          <w:rFonts w:ascii="Arial" w:hAnsi="Arial" w:cs="Arial"/>
        </w:rPr>
        <w:t xml:space="preserve">, dans un esprit paritaire, des représentants de l'État (au sens large) aussi bien que des organismes </w:t>
      </w:r>
      <w:r w:rsidR="00997A24" w:rsidRPr="0008040F">
        <w:rPr>
          <w:rFonts w:ascii="Arial" w:hAnsi="Arial" w:cs="Arial"/>
        </w:rPr>
        <w:lastRenderedPageBreak/>
        <w:t xml:space="preserve">H.L.M. </w:t>
      </w:r>
      <w:r w:rsidRPr="0008040F">
        <w:rPr>
          <w:rFonts w:ascii="Arial" w:hAnsi="Arial" w:cs="Arial"/>
        </w:rPr>
        <w:t>et des associations de locataires</w:t>
      </w:r>
      <w:r w:rsidR="004A2EB3" w:rsidRPr="0008040F">
        <w:rPr>
          <w:rStyle w:val="Appelnotedebasdep"/>
          <w:rFonts w:ascii="Arial" w:hAnsi="Arial" w:cs="Arial"/>
        </w:rPr>
        <w:footnoteReference w:id="8"/>
      </w:r>
      <w:r w:rsidRPr="0008040F">
        <w:rPr>
          <w:rFonts w:ascii="Arial" w:hAnsi="Arial" w:cs="Arial"/>
        </w:rPr>
        <w:t xml:space="preserve">. Et, </w:t>
      </w:r>
      <w:r w:rsidRPr="0008040F">
        <w:rPr>
          <w:rFonts w:ascii="Arial" w:hAnsi="Arial" w:cs="Arial"/>
          <w:i/>
          <w:iCs/>
        </w:rPr>
        <w:t>sans qu'il soit question de délai</w:t>
      </w:r>
      <w:r w:rsidRPr="0008040F">
        <w:rPr>
          <w:rFonts w:ascii="Arial" w:hAnsi="Arial" w:cs="Arial"/>
        </w:rPr>
        <w:t xml:space="preserve">, cette nouvelle structure de médiation peut être saisie dans </w:t>
      </w:r>
      <w:r w:rsidR="00997A24" w:rsidRPr="0008040F">
        <w:rPr>
          <w:rFonts w:ascii="Arial" w:hAnsi="Arial" w:cs="Arial"/>
        </w:rPr>
        <w:t>l’un (ou plusieurs) des cinq cas limitatifs :</w:t>
      </w:r>
      <w:r w:rsidRPr="0008040F">
        <w:rPr>
          <w:rFonts w:ascii="Arial" w:hAnsi="Arial" w:cs="Arial"/>
        </w:rPr>
        <w:t xml:space="preserve"> lorsque</w:t>
      </w:r>
      <w:r w:rsidR="007F6E56" w:rsidRPr="0008040F">
        <w:rPr>
          <w:rFonts w:ascii="Arial" w:hAnsi="Arial" w:cs="Arial"/>
        </w:rPr>
        <w:t>,</w:t>
      </w:r>
      <w:r w:rsidRPr="0008040F">
        <w:rPr>
          <w:rFonts w:ascii="Arial" w:hAnsi="Arial" w:cs="Arial"/>
        </w:rPr>
        <w:t xml:space="preserve"> de bonne foi</w:t>
      </w:r>
      <w:r w:rsidRPr="0008040F">
        <w:rPr>
          <w:rStyle w:val="Appelnotedebasdep"/>
          <w:rFonts w:ascii="Arial" w:hAnsi="Arial" w:cs="Arial"/>
        </w:rPr>
        <w:footnoteReference w:id="9"/>
      </w:r>
      <w:r w:rsidR="00997A24" w:rsidRPr="0008040F">
        <w:rPr>
          <w:rFonts w:ascii="Arial" w:hAnsi="Arial" w:cs="Arial"/>
        </w:rPr>
        <w:t xml:space="preserve">, </w:t>
      </w:r>
      <w:r w:rsidR="007F6E56" w:rsidRPr="0008040F">
        <w:rPr>
          <w:rFonts w:ascii="Arial" w:hAnsi="Arial" w:cs="Arial"/>
        </w:rPr>
        <w:t xml:space="preserve">le demandeur d'un logement social </w:t>
      </w:r>
      <w:r w:rsidR="00997A24" w:rsidRPr="0008040F">
        <w:rPr>
          <w:rFonts w:ascii="Arial" w:hAnsi="Arial" w:cs="Arial"/>
        </w:rPr>
        <w:t xml:space="preserve">est </w:t>
      </w:r>
      <w:r w:rsidRPr="0008040F">
        <w:rPr>
          <w:rFonts w:ascii="Arial" w:hAnsi="Arial" w:cs="Arial"/>
        </w:rPr>
        <w:t>dépourvu de logement, menacé d'expulsion sans relogement, hébergé dans un logement de transition, logé dans des locaux insalubre</w:t>
      </w:r>
      <w:r w:rsidR="007F6E56" w:rsidRPr="0008040F">
        <w:rPr>
          <w:rFonts w:ascii="Arial" w:hAnsi="Arial" w:cs="Arial"/>
        </w:rPr>
        <w:t>s ou</w:t>
      </w:r>
      <w:r w:rsidR="00352A9D" w:rsidRPr="0008040F">
        <w:rPr>
          <w:rFonts w:ascii="Arial" w:hAnsi="Arial" w:cs="Arial"/>
        </w:rPr>
        <w:t xml:space="preserve"> manifestement </w:t>
      </w:r>
      <w:proofErr w:type="spellStart"/>
      <w:r w:rsidR="00352A9D" w:rsidRPr="0008040F">
        <w:rPr>
          <w:rFonts w:ascii="Arial" w:hAnsi="Arial" w:cs="Arial"/>
        </w:rPr>
        <w:t>suroccupés</w:t>
      </w:r>
      <w:proofErr w:type="spellEnd"/>
      <w:r w:rsidR="00352A9D" w:rsidRPr="0008040F">
        <w:rPr>
          <w:rFonts w:ascii="Arial" w:hAnsi="Arial" w:cs="Arial"/>
        </w:rPr>
        <w:t xml:space="preserve"> (</w:t>
      </w:r>
      <w:r w:rsidR="007F6E56" w:rsidRPr="0008040F">
        <w:rPr>
          <w:rFonts w:ascii="Arial" w:hAnsi="Arial" w:cs="Arial"/>
        </w:rPr>
        <w:t xml:space="preserve">s’il </w:t>
      </w:r>
      <w:r w:rsidR="00352A9D" w:rsidRPr="0008040F">
        <w:rPr>
          <w:rFonts w:ascii="Arial" w:hAnsi="Arial" w:cs="Arial"/>
        </w:rPr>
        <w:t xml:space="preserve">présente un handicap ou </w:t>
      </w:r>
      <w:r w:rsidR="007F6E56" w:rsidRPr="0008040F">
        <w:rPr>
          <w:rFonts w:ascii="Arial" w:hAnsi="Arial" w:cs="Arial"/>
        </w:rPr>
        <w:t>a au moins un enfant mineur</w:t>
      </w:r>
      <w:r w:rsidR="00352A9D" w:rsidRPr="0008040F">
        <w:rPr>
          <w:rFonts w:ascii="Arial" w:hAnsi="Arial" w:cs="Arial"/>
        </w:rPr>
        <w:t>)</w:t>
      </w:r>
      <w:r w:rsidR="0020313E" w:rsidRPr="0008040F">
        <w:rPr>
          <w:rFonts w:ascii="Arial" w:hAnsi="Arial" w:cs="Arial"/>
        </w:rPr>
        <w:t>, schématiquement</w:t>
      </w:r>
      <w:r w:rsidRPr="0008040F">
        <w:rPr>
          <w:rFonts w:ascii="Arial" w:hAnsi="Arial" w:cs="Arial"/>
        </w:rPr>
        <w:t xml:space="preserve">. </w:t>
      </w:r>
      <w:r w:rsidR="007F6E56" w:rsidRPr="0008040F">
        <w:rPr>
          <w:rFonts w:ascii="Arial" w:hAnsi="Arial" w:cs="Arial"/>
        </w:rPr>
        <w:t xml:space="preserve">Après examen, </w:t>
      </w:r>
      <w:r w:rsidRPr="0008040F">
        <w:rPr>
          <w:rFonts w:ascii="Arial" w:hAnsi="Arial" w:cs="Arial"/>
        </w:rPr>
        <w:t>la commission de médiation</w:t>
      </w:r>
      <w:r w:rsidR="007F6E56" w:rsidRPr="0008040F">
        <w:rPr>
          <w:rFonts w:ascii="Arial" w:hAnsi="Arial" w:cs="Arial"/>
        </w:rPr>
        <w:t xml:space="preserve"> désigne </w:t>
      </w:r>
      <w:r w:rsidR="00C7417D" w:rsidRPr="0008040F">
        <w:rPr>
          <w:rFonts w:ascii="Arial" w:hAnsi="Arial" w:cs="Arial"/>
        </w:rPr>
        <w:t>ceux des</w:t>
      </w:r>
      <w:r w:rsidR="007F6E56" w:rsidRPr="0008040F">
        <w:rPr>
          <w:rFonts w:ascii="Arial" w:hAnsi="Arial" w:cs="Arial"/>
        </w:rPr>
        <w:t xml:space="preserve"> demandeurs </w:t>
      </w:r>
      <w:r w:rsidR="00C7417D" w:rsidRPr="0008040F">
        <w:rPr>
          <w:rFonts w:ascii="Arial" w:hAnsi="Arial" w:cs="Arial"/>
        </w:rPr>
        <w:t xml:space="preserve">qui </w:t>
      </w:r>
      <w:r w:rsidR="00F3060D" w:rsidRPr="0008040F">
        <w:rPr>
          <w:rFonts w:ascii="Arial" w:hAnsi="Arial" w:cs="Arial"/>
        </w:rPr>
        <w:t>lui paraissent devoir</w:t>
      </w:r>
      <w:r w:rsidR="00C7417D" w:rsidRPr="0008040F">
        <w:rPr>
          <w:rFonts w:ascii="Arial" w:hAnsi="Arial" w:cs="Arial"/>
        </w:rPr>
        <w:t xml:space="preserve"> être reconnus comme</w:t>
      </w:r>
      <w:r w:rsidRPr="0008040F">
        <w:rPr>
          <w:rFonts w:ascii="Arial" w:hAnsi="Arial" w:cs="Arial"/>
        </w:rPr>
        <w:t xml:space="preserve"> "pr</w:t>
      </w:r>
      <w:r w:rsidR="007F6E56" w:rsidRPr="0008040F">
        <w:rPr>
          <w:rFonts w:ascii="Arial" w:hAnsi="Arial" w:cs="Arial"/>
        </w:rPr>
        <w:t>ioritaires</w:t>
      </w:r>
      <w:r w:rsidRPr="0008040F">
        <w:rPr>
          <w:rFonts w:ascii="Arial" w:hAnsi="Arial" w:cs="Arial"/>
        </w:rPr>
        <w:t>"</w:t>
      </w:r>
      <w:r w:rsidR="00C7417D" w:rsidRPr="0008040F">
        <w:rPr>
          <w:rStyle w:val="Appelnotedebasdep"/>
          <w:rFonts w:ascii="Arial" w:hAnsi="Arial" w:cs="Arial"/>
        </w:rPr>
        <w:footnoteReference w:id="10"/>
      </w:r>
      <w:r w:rsidRPr="0008040F">
        <w:rPr>
          <w:rFonts w:ascii="Arial" w:hAnsi="Arial" w:cs="Arial"/>
        </w:rPr>
        <w:t xml:space="preserve"> </w:t>
      </w:r>
      <w:r w:rsidR="00C7417D" w:rsidRPr="0008040F">
        <w:rPr>
          <w:rFonts w:ascii="Arial" w:hAnsi="Arial" w:cs="Arial"/>
        </w:rPr>
        <w:t xml:space="preserve">et en </w:t>
      </w:r>
      <w:r w:rsidR="007F6E56" w:rsidRPr="0008040F">
        <w:rPr>
          <w:rFonts w:ascii="Arial" w:hAnsi="Arial" w:cs="Arial"/>
        </w:rPr>
        <w:t xml:space="preserve">communique </w:t>
      </w:r>
      <w:r w:rsidR="00C7417D" w:rsidRPr="0008040F">
        <w:rPr>
          <w:rFonts w:ascii="Arial" w:hAnsi="Arial" w:cs="Arial"/>
        </w:rPr>
        <w:t xml:space="preserve">la liste </w:t>
      </w:r>
      <w:r w:rsidR="007F6E56" w:rsidRPr="0008040F">
        <w:rPr>
          <w:rFonts w:ascii="Arial" w:hAnsi="Arial" w:cs="Arial"/>
        </w:rPr>
        <w:t xml:space="preserve">au </w:t>
      </w:r>
      <w:r w:rsidR="00C7417D" w:rsidRPr="0008040F">
        <w:rPr>
          <w:rFonts w:ascii="Arial" w:hAnsi="Arial" w:cs="Arial"/>
        </w:rPr>
        <w:t xml:space="preserve">préfet, </w:t>
      </w:r>
      <w:r w:rsidR="00F3060D" w:rsidRPr="0008040F">
        <w:rPr>
          <w:rFonts w:ascii="Arial" w:hAnsi="Arial" w:cs="Arial"/>
        </w:rPr>
        <w:t>à l’effet</w:t>
      </w:r>
      <w:r w:rsidR="00C7417D" w:rsidRPr="0008040F">
        <w:rPr>
          <w:rFonts w:ascii="Arial" w:hAnsi="Arial" w:cs="Arial"/>
        </w:rPr>
        <w:t xml:space="preserve"> qu’un logement leur </w:t>
      </w:r>
      <w:r w:rsidR="00F3060D" w:rsidRPr="0008040F">
        <w:rPr>
          <w:rFonts w:ascii="Arial" w:hAnsi="Arial" w:cs="Arial"/>
        </w:rPr>
        <w:t>soit « </w:t>
      </w:r>
      <w:r w:rsidR="00C7417D" w:rsidRPr="0008040F">
        <w:rPr>
          <w:rFonts w:ascii="Arial" w:hAnsi="Arial" w:cs="Arial"/>
        </w:rPr>
        <w:t>attribué en urgence »</w:t>
      </w:r>
      <w:r w:rsidR="007F6E56" w:rsidRPr="0008040F">
        <w:rPr>
          <w:rFonts w:ascii="Arial" w:hAnsi="Arial" w:cs="Arial"/>
        </w:rPr>
        <w:t xml:space="preserve">. Il restera alors au préfet à relayer </w:t>
      </w:r>
      <w:r w:rsidR="00426E5E" w:rsidRPr="0008040F">
        <w:rPr>
          <w:rFonts w:ascii="Arial" w:hAnsi="Arial" w:cs="Arial"/>
        </w:rPr>
        <w:t>cette</w:t>
      </w:r>
      <w:r w:rsidR="007F6E56" w:rsidRPr="0008040F">
        <w:rPr>
          <w:rFonts w:ascii="Arial" w:hAnsi="Arial" w:cs="Arial"/>
        </w:rPr>
        <w:t xml:space="preserve"> demande auprès d'un organisme HLM</w:t>
      </w:r>
      <w:r w:rsidR="00426E5E" w:rsidRPr="0008040F">
        <w:rPr>
          <w:rFonts w:ascii="Arial" w:hAnsi="Arial" w:cs="Arial"/>
        </w:rPr>
        <w:t>,</w:t>
      </w:r>
      <w:r w:rsidR="007F6E56" w:rsidRPr="0008040F">
        <w:rPr>
          <w:rFonts w:ascii="Arial" w:hAnsi="Arial" w:cs="Arial"/>
        </w:rPr>
        <w:t xml:space="preserve"> qu'il </w:t>
      </w:r>
      <w:r w:rsidR="00426E5E" w:rsidRPr="0008040F">
        <w:rPr>
          <w:rFonts w:ascii="Arial" w:hAnsi="Arial" w:cs="Arial"/>
        </w:rPr>
        <w:t>exhorte</w:t>
      </w:r>
      <w:r w:rsidR="007F6E56" w:rsidRPr="0008040F">
        <w:rPr>
          <w:rFonts w:ascii="Arial" w:hAnsi="Arial" w:cs="Arial"/>
        </w:rPr>
        <w:t xml:space="preserve"> ainsi </w:t>
      </w:r>
      <w:r w:rsidR="00426E5E" w:rsidRPr="0008040F">
        <w:rPr>
          <w:rFonts w:ascii="Arial" w:hAnsi="Arial" w:cs="Arial"/>
        </w:rPr>
        <w:t>à</w:t>
      </w:r>
      <w:r w:rsidR="007F6E56" w:rsidRPr="0008040F">
        <w:rPr>
          <w:rFonts w:ascii="Arial" w:hAnsi="Arial" w:cs="Arial"/>
        </w:rPr>
        <w:t xml:space="preserve"> trouver une habitation disponible dans un délai par lui fixé.</w:t>
      </w:r>
    </w:p>
    <w:p w:rsidR="00515559" w:rsidRPr="0008040F" w:rsidRDefault="00702E0D" w:rsidP="004229B0">
      <w:pPr>
        <w:spacing w:line="360" w:lineRule="auto"/>
        <w:ind w:firstLine="620"/>
        <w:jc w:val="both"/>
        <w:rPr>
          <w:rFonts w:ascii="Arial" w:hAnsi="Arial" w:cs="Arial"/>
        </w:rPr>
      </w:pPr>
      <w:r w:rsidRPr="0008040F">
        <w:rPr>
          <w:rFonts w:ascii="Arial" w:hAnsi="Arial" w:cs="Arial"/>
        </w:rPr>
        <w:t xml:space="preserve">Après </w:t>
      </w:r>
      <w:r w:rsidR="00515559" w:rsidRPr="0008040F">
        <w:rPr>
          <w:rFonts w:ascii="Arial" w:hAnsi="Arial" w:cs="Arial"/>
        </w:rPr>
        <w:t>la phase "amiable" du processus</w:t>
      </w:r>
      <w:r w:rsidRPr="0008040F">
        <w:rPr>
          <w:rFonts w:ascii="Arial" w:hAnsi="Arial" w:cs="Arial"/>
        </w:rPr>
        <w:t xml:space="preserve">, son volet contentieux : la personne désignée prioritaire </w:t>
      </w:r>
      <w:r w:rsidR="00515559" w:rsidRPr="0008040F">
        <w:rPr>
          <w:rFonts w:ascii="Arial" w:hAnsi="Arial" w:cs="Arial"/>
        </w:rPr>
        <w:t xml:space="preserve">qui, dans un délai de </w:t>
      </w:r>
      <w:r w:rsidRPr="0008040F">
        <w:rPr>
          <w:rFonts w:ascii="Arial" w:hAnsi="Arial" w:cs="Arial"/>
        </w:rPr>
        <w:t>six mois (pour l’Île de France)</w:t>
      </w:r>
      <w:r w:rsidR="00515559" w:rsidRPr="0008040F">
        <w:rPr>
          <w:rFonts w:ascii="Arial" w:hAnsi="Arial" w:cs="Arial"/>
        </w:rPr>
        <w:t xml:space="preserve"> ou </w:t>
      </w:r>
      <w:r w:rsidRPr="0008040F">
        <w:rPr>
          <w:rFonts w:ascii="Arial" w:hAnsi="Arial" w:cs="Arial"/>
        </w:rPr>
        <w:t>trois</w:t>
      </w:r>
      <w:r w:rsidR="00515559" w:rsidRPr="0008040F">
        <w:rPr>
          <w:rFonts w:ascii="Arial" w:hAnsi="Arial" w:cs="Arial"/>
        </w:rPr>
        <w:t xml:space="preserve"> mois </w:t>
      </w:r>
      <w:r w:rsidRPr="0008040F">
        <w:rPr>
          <w:rFonts w:ascii="Arial" w:hAnsi="Arial" w:cs="Arial"/>
        </w:rPr>
        <w:t>(pour les autres régions)</w:t>
      </w:r>
      <w:r w:rsidR="00515559" w:rsidRPr="0008040F">
        <w:rPr>
          <w:rFonts w:ascii="Arial" w:hAnsi="Arial" w:cs="Arial"/>
        </w:rPr>
        <w:t xml:space="preserve">, n'a toujours pas reçu une "offre de logement tenant compte de ses besoins et de ses capacités" est habilitée alors à introduire devant </w:t>
      </w:r>
      <w:r w:rsidRPr="0008040F">
        <w:rPr>
          <w:rFonts w:ascii="Arial" w:hAnsi="Arial" w:cs="Arial"/>
        </w:rPr>
        <w:t>le</w:t>
      </w:r>
      <w:r w:rsidR="00515559" w:rsidRPr="0008040F">
        <w:rPr>
          <w:rFonts w:ascii="Arial" w:hAnsi="Arial" w:cs="Arial"/>
        </w:rPr>
        <w:t xml:space="preserve"> </w:t>
      </w:r>
      <w:r w:rsidRPr="0008040F">
        <w:rPr>
          <w:rFonts w:ascii="Arial" w:hAnsi="Arial" w:cs="Arial"/>
        </w:rPr>
        <w:t>tribunal administratif</w:t>
      </w:r>
      <w:r w:rsidR="00515559" w:rsidRPr="0008040F">
        <w:rPr>
          <w:rFonts w:ascii="Arial" w:hAnsi="Arial" w:cs="Arial"/>
        </w:rPr>
        <w:t xml:space="preserve"> un recours "tendant à ce que soit ordonné son logement". S'il estime fondée la requête du demandeur, </w:t>
      </w:r>
      <w:r w:rsidR="00426E5E" w:rsidRPr="0008040F">
        <w:rPr>
          <w:rFonts w:ascii="Arial" w:hAnsi="Arial" w:cs="Arial"/>
        </w:rPr>
        <w:t>le tribunal</w:t>
      </w:r>
      <w:r w:rsidR="00515559" w:rsidRPr="0008040F">
        <w:rPr>
          <w:rFonts w:ascii="Arial" w:hAnsi="Arial" w:cs="Arial"/>
        </w:rPr>
        <w:t xml:space="preserve"> "ordonne le logement ou le relogement de celui-ci par l'État". Et, pour accentuer le caractère contraignant de sa décision, le président peut "assortir son injonction d'une astreinte"</w:t>
      </w:r>
      <w:r w:rsidR="00C02C06" w:rsidRPr="0008040F">
        <w:rPr>
          <w:rFonts w:ascii="Arial" w:hAnsi="Arial" w:cs="Arial"/>
        </w:rPr>
        <w:t>,</w:t>
      </w:r>
      <w:r w:rsidR="00515559" w:rsidRPr="0008040F">
        <w:rPr>
          <w:rFonts w:ascii="Arial" w:hAnsi="Arial" w:cs="Arial"/>
        </w:rPr>
        <w:t xml:space="preserve"> dont le </w:t>
      </w:r>
      <w:r w:rsidR="00C02C06" w:rsidRPr="0008040F">
        <w:rPr>
          <w:rFonts w:ascii="Arial" w:hAnsi="Arial" w:cs="Arial"/>
        </w:rPr>
        <w:t xml:space="preserve">montant est fixé en fonction du loyer moyen du type de logement considéré comme adapté aux besoins du demandeur par la commission de médiation ; le produit de l'astreinte est versé au </w:t>
      </w:r>
      <w:r w:rsidR="00EC306B" w:rsidRPr="0008040F">
        <w:rPr>
          <w:rFonts w:ascii="Arial" w:hAnsi="Arial" w:cs="Arial"/>
        </w:rPr>
        <w:t>« </w:t>
      </w:r>
      <w:r w:rsidR="00C02C06" w:rsidRPr="0008040F">
        <w:rPr>
          <w:rFonts w:ascii="Arial" w:hAnsi="Arial" w:cs="Arial"/>
        </w:rPr>
        <w:t>fonds national d'accompagnement vers et dans le logement</w:t>
      </w:r>
      <w:r w:rsidR="00EC306B" w:rsidRPr="0008040F">
        <w:rPr>
          <w:rFonts w:ascii="Arial" w:hAnsi="Arial" w:cs="Arial"/>
        </w:rPr>
        <w:t> »</w:t>
      </w:r>
      <w:r w:rsidR="00426E5E" w:rsidRPr="0008040F">
        <w:rPr>
          <w:rFonts w:ascii="Arial" w:hAnsi="Arial" w:cs="Arial"/>
        </w:rPr>
        <w:t xml:space="preserve"> (précédemment, à un « </w:t>
      </w:r>
      <w:r w:rsidR="004D455E" w:rsidRPr="0008040F">
        <w:rPr>
          <w:rFonts w:ascii="Arial" w:hAnsi="Arial" w:cs="Arial"/>
        </w:rPr>
        <w:t>fonds d'aménagement urbain</w:t>
      </w:r>
      <w:r w:rsidR="00426E5E" w:rsidRPr="0008040F">
        <w:rPr>
          <w:rFonts w:ascii="Arial" w:hAnsi="Arial" w:cs="Arial"/>
        </w:rPr>
        <w:t> »</w:t>
      </w:r>
      <w:r w:rsidR="004D455E" w:rsidRPr="0008040F">
        <w:rPr>
          <w:rStyle w:val="Appelnotedebasdep"/>
          <w:rFonts w:ascii="Arial" w:hAnsi="Arial" w:cs="Arial"/>
        </w:rPr>
        <w:footnoteReference w:id="11"/>
      </w:r>
      <w:r w:rsidR="004D455E" w:rsidRPr="0008040F">
        <w:rPr>
          <w:rFonts w:ascii="Arial" w:hAnsi="Arial" w:cs="Arial"/>
        </w:rPr>
        <w:t>)</w:t>
      </w:r>
      <w:r w:rsidR="00C02C06" w:rsidRPr="0008040F">
        <w:rPr>
          <w:rFonts w:ascii="Arial" w:hAnsi="Arial" w:cs="Arial"/>
        </w:rPr>
        <w:t>,</w:t>
      </w:r>
      <w:r w:rsidR="00EC306B" w:rsidRPr="0008040F">
        <w:rPr>
          <w:rFonts w:ascii="Arial" w:hAnsi="Arial" w:cs="Arial"/>
        </w:rPr>
        <w:t xml:space="preserve"> mis sur pied pour le financement </w:t>
      </w:r>
      <w:r w:rsidR="00426E5E" w:rsidRPr="0008040F">
        <w:rPr>
          <w:rFonts w:ascii="Arial" w:hAnsi="Arial" w:cs="Arial"/>
        </w:rPr>
        <w:t>entre autres</w:t>
      </w:r>
      <w:r w:rsidR="00EC306B" w:rsidRPr="0008040F">
        <w:rPr>
          <w:rFonts w:ascii="Arial" w:hAnsi="Arial" w:cs="Arial"/>
        </w:rPr>
        <w:t xml:space="preserve"> d'actions d'accompagnement des personnes reconnues prioritaires par la commission mais laissées sans logement.</w:t>
      </w:r>
    </w:p>
    <w:p w:rsidR="002E4D74" w:rsidRPr="0008040F" w:rsidRDefault="002E4D74" w:rsidP="004229B0">
      <w:pPr>
        <w:spacing w:line="360" w:lineRule="auto"/>
        <w:ind w:firstLine="620"/>
        <w:jc w:val="both"/>
        <w:rPr>
          <w:rFonts w:ascii="Arial" w:hAnsi="Arial" w:cs="Arial"/>
        </w:rPr>
      </w:pPr>
      <w:r w:rsidRPr="0008040F">
        <w:rPr>
          <w:rFonts w:ascii="Arial" w:hAnsi="Arial" w:cs="Arial"/>
        </w:rPr>
        <w:t xml:space="preserve">Toutefois, et la précision est capitale, le recours devant le tribunal administratif ne saurait donner lieu à l’octroi d’indemnités au bénéfice du ménage qui triomphe. </w:t>
      </w:r>
      <w:r w:rsidRPr="0008040F">
        <w:rPr>
          <w:rFonts w:ascii="Arial" w:hAnsi="Arial" w:cs="Arial"/>
        </w:rPr>
        <w:lastRenderedPageBreak/>
        <w:t>Pour ce faire, ce dernier doit intenter une action en responsabilité de l’</w:t>
      </w:r>
      <w:r w:rsidR="00E43A05" w:rsidRPr="0008040F">
        <w:rPr>
          <w:rFonts w:ascii="Arial" w:hAnsi="Arial" w:cs="Arial"/>
        </w:rPr>
        <w:t>État…</w:t>
      </w:r>
      <w:r w:rsidRPr="0008040F">
        <w:rPr>
          <w:rFonts w:ascii="Arial" w:hAnsi="Arial" w:cs="Arial"/>
        </w:rPr>
        <w:t xml:space="preserve"> mais on sort alors de la procédure DALO.</w:t>
      </w:r>
    </w:p>
    <w:p w:rsidR="00E65340" w:rsidRPr="0008040F" w:rsidRDefault="00E65340" w:rsidP="004229B0">
      <w:pPr>
        <w:spacing w:line="360" w:lineRule="auto"/>
        <w:jc w:val="both"/>
        <w:rPr>
          <w:rFonts w:ascii="Arial" w:hAnsi="Arial" w:cs="Arial"/>
        </w:rPr>
      </w:pPr>
    </w:p>
    <w:p w:rsidR="00E65340" w:rsidRPr="0008040F" w:rsidRDefault="00E65340" w:rsidP="004229B0">
      <w:pPr>
        <w:spacing w:line="360" w:lineRule="auto"/>
        <w:jc w:val="both"/>
        <w:rPr>
          <w:rFonts w:ascii="Arial" w:hAnsi="Arial" w:cs="Arial"/>
        </w:rPr>
      </w:pPr>
    </w:p>
    <w:p w:rsidR="007324AA" w:rsidRPr="0008040F" w:rsidRDefault="00E65340" w:rsidP="004229B0">
      <w:pPr>
        <w:spacing w:line="360" w:lineRule="auto"/>
        <w:jc w:val="both"/>
        <w:rPr>
          <w:rFonts w:ascii="Arial" w:hAnsi="Arial" w:cs="Arial"/>
          <w:u w:val="single"/>
        </w:rPr>
      </w:pPr>
      <w:r w:rsidRPr="0008040F">
        <w:rPr>
          <w:rFonts w:ascii="Arial" w:hAnsi="Arial" w:cs="Arial"/>
        </w:rPr>
        <w:t>2.</w:t>
      </w:r>
      <w:r w:rsidR="007324AA" w:rsidRPr="0008040F">
        <w:rPr>
          <w:rFonts w:ascii="Arial" w:hAnsi="Arial" w:cs="Arial"/>
        </w:rPr>
        <w:t xml:space="preserve"> </w:t>
      </w:r>
      <w:r w:rsidR="009D620A" w:rsidRPr="0008040F">
        <w:rPr>
          <w:rFonts w:ascii="Arial" w:hAnsi="Arial" w:cs="Arial"/>
          <w:u w:val="single"/>
        </w:rPr>
        <w:t>L’arrêt de la Cour européenne des droits de l’homme</w:t>
      </w:r>
    </w:p>
    <w:p w:rsidR="0010520F" w:rsidRPr="0008040F" w:rsidRDefault="0010520F" w:rsidP="004229B0">
      <w:pPr>
        <w:spacing w:line="360" w:lineRule="auto"/>
        <w:jc w:val="both"/>
        <w:rPr>
          <w:rFonts w:ascii="Arial" w:hAnsi="Arial" w:cs="Arial"/>
          <w:u w:val="single"/>
        </w:rPr>
      </w:pPr>
    </w:p>
    <w:p w:rsidR="0010520F" w:rsidRPr="0008040F" w:rsidRDefault="003028FF" w:rsidP="004229B0">
      <w:pPr>
        <w:spacing w:line="360" w:lineRule="auto"/>
        <w:jc w:val="both"/>
        <w:rPr>
          <w:rFonts w:ascii="Arial" w:hAnsi="Arial" w:cs="Arial"/>
          <w:i/>
        </w:rPr>
      </w:pPr>
      <w:r w:rsidRPr="0008040F">
        <w:rPr>
          <w:rFonts w:ascii="Arial" w:hAnsi="Arial" w:cs="Arial"/>
          <w:i/>
        </w:rPr>
        <w:t xml:space="preserve">a) </w:t>
      </w:r>
      <w:r w:rsidR="009D620A" w:rsidRPr="0008040F">
        <w:rPr>
          <w:rFonts w:ascii="Arial" w:hAnsi="Arial" w:cs="Arial"/>
          <w:i/>
        </w:rPr>
        <w:t>une décision de justice doit toujours être exécutée, paiement de l’astreinte ou pas</w:t>
      </w:r>
    </w:p>
    <w:p w:rsidR="0010520F" w:rsidRPr="0008040F" w:rsidRDefault="0010520F" w:rsidP="004229B0">
      <w:pPr>
        <w:spacing w:line="360" w:lineRule="auto"/>
        <w:jc w:val="both"/>
        <w:rPr>
          <w:rFonts w:ascii="Arial" w:hAnsi="Arial" w:cs="Arial"/>
        </w:rPr>
      </w:pPr>
    </w:p>
    <w:p w:rsidR="0026278F" w:rsidRPr="0008040F" w:rsidRDefault="00E65340" w:rsidP="004229B0">
      <w:pPr>
        <w:spacing w:line="360" w:lineRule="auto"/>
        <w:ind w:firstLine="567"/>
        <w:jc w:val="both"/>
        <w:rPr>
          <w:rFonts w:ascii="Arial" w:hAnsi="Arial" w:cs="Arial"/>
        </w:rPr>
      </w:pPr>
      <w:r w:rsidRPr="0008040F">
        <w:rPr>
          <w:rFonts w:ascii="Arial" w:hAnsi="Arial" w:cs="Arial"/>
          <w:b/>
        </w:rPr>
        <w:t xml:space="preserve">4. </w:t>
      </w:r>
      <w:r w:rsidR="00A12B9A" w:rsidRPr="0008040F">
        <w:rPr>
          <w:rFonts w:ascii="Arial" w:hAnsi="Arial" w:cs="Arial"/>
        </w:rPr>
        <w:t>On le sait, la Convention européenne des droits de l’homme proclame, en son article 6</w:t>
      </w:r>
      <w:r w:rsidR="004229B0" w:rsidRPr="0008040F">
        <w:rPr>
          <w:rFonts w:ascii="Arial" w:hAnsi="Arial" w:cs="Arial"/>
        </w:rPr>
        <w:t>, §1</w:t>
      </w:r>
      <w:r w:rsidR="004229B0" w:rsidRPr="0008040F">
        <w:rPr>
          <w:rFonts w:ascii="Arial" w:hAnsi="Arial" w:cs="Arial"/>
          <w:vertAlign w:val="superscript"/>
        </w:rPr>
        <w:t>er</w:t>
      </w:r>
      <w:r w:rsidR="00A12B9A" w:rsidRPr="0008040F">
        <w:rPr>
          <w:rFonts w:ascii="Arial" w:hAnsi="Arial" w:cs="Arial"/>
        </w:rPr>
        <w:t>, le droit à un procès équitable</w:t>
      </w:r>
      <w:r w:rsidR="00F45DA0" w:rsidRPr="0008040F">
        <w:rPr>
          <w:rFonts w:ascii="Arial" w:hAnsi="Arial" w:cs="Arial"/>
        </w:rPr>
        <w:t>.</w:t>
      </w:r>
      <w:r w:rsidR="00A12B9A" w:rsidRPr="0008040F">
        <w:rPr>
          <w:rFonts w:ascii="Arial" w:hAnsi="Arial" w:cs="Arial"/>
        </w:rPr>
        <w:t xml:space="preserve"> Par extension, estime la Cour de Strasbourg, cette disposition consacre aussi le droit à ce que les décisions de justice reçoivent bien exécution</w:t>
      </w:r>
      <w:r w:rsidR="00143A92" w:rsidRPr="0008040F">
        <w:rPr>
          <w:rStyle w:val="Appelnotedebasdep"/>
          <w:rFonts w:ascii="Arial" w:hAnsi="Arial" w:cs="Arial"/>
        </w:rPr>
        <w:footnoteReference w:id="12"/>
      </w:r>
      <w:r w:rsidR="00A562A4" w:rsidRPr="0008040F">
        <w:rPr>
          <w:rFonts w:ascii="Arial" w:hAnsi="Arial" w:cs="Arial"/>
        </w:rPr>
        <w:t> ; il est vrai que les garanties procédurales dont jouissent les parties au cours du proc</w:t>
      </w:r>
      <w:r w:rsidR="004229B0" w:rsidRPr="0008040F">
        <w:rPr>
          <w:rFonts w:ascii="Arial" w:hAnsi="Arial" w:cs="Arial"/>
        </w:rPr>
        <w:t xml:space="preserve">ès </w:t>
      </w:r>
      <w:r w:rsidR="00A562A4" w:rsidRPr="0008040F">
        <w:rPr>
          <w:rFonts w:ascii="Arial" w:hAnsi="Arial" w:cs="Arial"/>
        </w:rPr>
        <w:t xml:space="preserve">perdraient </w:t>
      </w:r>
      <w:r w:rsidR="004229B0" w:rsidRPr="0008040F">
        <w:rPr>
          <w:rFonts w:ascii="Arial" w:hAnsi="Arial" w:cs="Arial"/>
        </w:rPr>
        <w:t xml:space="preserve">leur sens </w:t>
      </w:r>
      <w:r w:rsidR="00A562A4" w:rsidRPr="0008040F">
        <w:rPr>
          <w:rFonts w:ascii="Arial" w:hAnsi="Arial" w:cs="Arial"/>
        </w:rPr>
        <w:t>si le jugement devait ensuite rester dans les limbes</w:t>
      </w:r>
      <w:r w:rsidR="004229B0" w:rsidRPr="0008040F">
        <w:rPr>
          <w:rStyle w:val="Appelnotedebasdep"/>
          <w:rFonts w:ascii="Arial" w:hAnsi="Arial" w:cs="Arial"/>
        </w:rPr>
        <w:footnoteReference w:id="13"/>
      </w:r>
      <w:r w:rsidR="00A562A4" w:rsidRPr="0008040F">
        <w:rPr>
          <w:rFonts w:ascii="Arial" w:hAnsi="Arial" w:cs="Arial"/>
        </w:rPr>
        <w:t xml:space="preserve">. Or, le 28 décembre 2010, Mme </w:t>
      </w:r>
      <w:proofErr w:type="spellStart"/>
      <w:r w:rsidR="00A562A4" w:rsidRPr="0008040F">
        <w:rPr>
          <w:rFonts w:ascii="Arial" w:hAnsi="Arial" w:cs="Arial"/>
        </w:rPr>
        <w:t>Tchokontio</w:t>
      </w:r>
      <w:proofErr w:type="spellEnd"/>
      <w:r w:rsidR="00A562A4" w:rsidRPr="0008040F">
        <w:rPr>
          <w:rFonts w:ascii="Arial" w:hAnsi="Arial" w:cs="Arial"/>
        </w:rPr>
        <w:t xml:space="preserve"> </w:t>
      </w:r>
      <w:proofErr w:type="spellStart"/>
      <w:r w:rsidR="00A562A4" w:rsidRPr="0008040F">
        <w:rPr>
          <w:rFonts w:ascii="Arial" w:hAnsi="Arial" w:cs="Arial"/>
        </w:rPr>
        <w:t>Happi</w:t>
      </w:r>
      <w:proofErr w:type="spellEnd"/>
      <w:r w:rsidR="00A562A4" w:rsidRPr="0008040F">
        <w:rPr>
          <w:rFonts w:ascii="Arial" w:hAnsi="Arial" w:cs="Arial"/>
        </w:rPr>
        <w:t xml:space="preserve"> </w:t>
      </w:r>
      <w:r w:rsidR="0017580C" w:rsidRPr="0008040F">
        <w:rPr>
          <w:rFonts w:ascii="Arial" w:hAnsi="Arial" w:cs="Arial"/>
        </w:rPr>
        <w:t>(qui vit avec sa fil</w:t>
      </w:r>
      <w:r w:rsidR="00426E5E" w:rsidRPr="0008040F">
        <w:rPr>
          <w:rFonts w:ascii="Arial" w:hAnsi="Arial" w:cs="Arial"/>
        </w:rPr>
        <w:t>l</w:t>
      </w:r>
      <w:r w:rsidR="0017580C" w:rsidRPr="0008040F">
        <w:rPr>
          <w:rFonts w:ascii="Arial" w:hAnsi="Arial" w:cs="Arial"/>
        </w:rPr>
        <w:t xml:space="preserve">e et son frère dans une habitation insalubre) </w:t>
      </w:r>
      <w:r w:rsidR="00A562A4" w:rsidRPr="0008040F">
        <w:rPr>
          <w:rFonts w:ascii="Arial" w:hAnsi="Arial" w:cs="Arial"/>
        </w:rPr>
        <w:t xml:space="preserve">obtenait du tribunal administratif condamnation du préfet à lui assurer un relogement, sous peine d’astreinte (700 euros mensuels). </w:t>
      </w:r>
      <w:r w:rsidR="00426E5E" w:rsidRPr="0008040F">
        <w:rPr>
          <w:rFonts w:ascii="Arial" w:hAnsi="Arial" w:cs="Arial"/>
        </w:rPr>
        <w:t>Restée</w:t>
      </w:r>
      <w:r w:rsidR="00A562A4" w:rsidRPr="0008040F">
        <w:rPr>
          <w:rFonts w:ascii="Arial" w:hAnsi="Arial" w:cs="Arial"/>
        </w:rPr>
        <w:t xml:space="preserve"> sans réponse, la dame saisissait la Cour européenne deux ans plus tard et, au moment de l’examen des faits par celle-ci, n’avait toujours pas </w:t>
      </w:r>
      <w:r w:rsidR="0026278F" w:rsidRPr="0008040F">
        <w:rPr>
          <w:rFonts w:ascii="Arial" w:hAnsi="Arial" w:cs="Arial"/>
        </w:rPr>
        <w:t>été relogée</w:t>
      </w:r>
      <w:r w:rsidR="00A562A4" w:rsidRPr="0008040F">
        <w:rPr>
          <w:rFonts w:ascii="Arial" w:hAnsi="Arial" w:cs="Arial"/>
        </w:rPr>
        <w:t>.</w:t>
      </w:r>
      <w:r w:rsidR="0026278F" w:rsidRPr="0008040F">
        <w:rPr>
          <w:rFonts w:ascii="Arial" w:hAnsi="Arial" w:cs="Arial"/>
        </w:rPr>
        <w:t xml:space="preserve"> </w:t>
      </w:r>
    </w:p>
    <w:p w:rsidR="00493E5A" w:rsidRPr="0008040F" w:rsidRDefault="0026278F" w:rsidP="004229B0">
      <w:pPr>
        <w:spacing w:line="360" w:lineRule="auto"/>
        <w:ind w:firstLine="567"/>
        <w:jc w:val="both"/>
        <w:rPr>
          <w:rFonts w:ascii="Arial" w:hAnsi="Arial" w:cs="Arial"/>
        </w:rPr>
      </w:pPr>
      <w:r w:rsidRPr="0008040F">
        <w:rPr>
          <w:rFonts w:ascii="Arial" w:hAnsi="Arial" w:cs="Arial"/>
        </w:rPr>
        <w:t>Ce à quoi l’État français rétorque que l’astreinte a bien été payée (au fonds d’aménagement urbain), ce qui « </w:t>
      </w:r>
      <w:proofErr w:type="gramStart"/>
      <w:r w:rsidRPr="0008040F">
        <w:rPr>
          <w:rFonts w:ascii="Arial" w:hAnsi="Arial" w:cs="Arial"/>
        </w:rPr>
        <w:t>répond[</w:t>
      </w:r>
      <w:proofErr w:type="gramEnd"/>
      <w:r w:rsidRPr="0008040F">
        <w:rPr>
          <w:rFonts w:ascii="Arial" w:hAnsi="Arial" w:cs="Arial"/>
        </w:rPr>
        <w:t xml:space="preserve">…] </w:t>
      </w:r>
      <w:r w:rsidRPr="0008040F">
        <w:rPr>
          <w:rFonts w:ascii="Arial" w:hAnsi="Arial" w:cs="Arial"/>
          <w:lang w:val="fr-BE"/>
        </w:rPr>
        <w:t>parfaitement à l’objectif de garantie de l</w:t>
      </w:r>
      <w:r w:rsidRPr="0008040F">
        <w:rPr>
          <w:rFonts w:ascii="Arial" w:hAnsi="Arial" w:cs="Arial"/>
        </w:rPr>
        <w:t>’</w:t>
      </w:r>
      <w:r w:rsidRPr="0008040F">
        <w:rPr>
          <w:rFonts w:ascii="Arial" w:hAnsi="Arial" w:cs="Arial"/>
          <w:lang w:val="fr-BE"/>
        </w:rPr>
        <w:t xml:space="preserve">exécution de la décision juridictionnelle enjoignant au préfet le relogement de la requérante ». </w:t>
      </w:r>
      <w:r w:rsidRPr="0008040F">
        <w:rPr>
          <w:rFonts w:ascii="Arial" w:hAnsi="Arial" w:cs="Arial"/>
        </w:rPr>
        <w:t xml:space="preserve">Pour preuve (de ce caractère </w:t>
      </w:r>
      <w:r w:rsidR="00426E5E" w:rsidRPr="0008040F">
        <w:rPr>
          <w:rFonts w:ascii="Arial" w:hAnsi="Arial" w:cs="Arial"/>
        </w:rPr>
        <w:t xml:space="preserve">prétendument </w:t>
      </w:r>
      <w:r w:rsidRPr="0008040F">
        <w:rPr>
          <w:rFonts w:ascii="Arial" w:hAnsi="Arial" w:cs="Arial"/>
        </w:rPr>
        <w:t>« proportionné » et « adapté »), le montant de l’astreinte est calculé en fonction du loyer moyen du type de logement considéré comme adéquat pour la demanderesse</w:t>
      </w:r>
      <w:r w:rsidR="00426E5E" w:rsidRPr="0008040F">
        <w:rPr>
          <w:rFonts w:ascii="Arial" w:hAnsi="Arial" w:cs="Arial"/>
        </w:rPr>
        <w:t>, on l’a dit</w:t>
      </w:r>
      <w:r w:rsidRPr="0008040F">
        <w:rPr>
          <w:rFonts w:ascii="Arial" w:hAnsi="Arial" w:cs="Arial"/>
        </w:rPr>
        <w:t xml:space="preserve">. Et </w:t>
      </w:r>
      <w:r w:rsidR="004D455E" w:rsidRPr="0008040F">
        <w:rPr>
          <w:rFonts w:ascii="Arial" w:hAnsi="Arial" w:cs="Arial"/>
        </w:rPr>
        <w:t>si</w:t>
      </w:r>
      <w:r w:rsidRPr="0008040F">
        <w:rPr>
          <w:rFonts w:ascii="Arial" w:hAnsi="Arial" w:cs="Arial"/>
        </w:rPr>
        <w:t xml:space="preserve"> cette dernière</w:t>
      </w:r>
      <w:r w:rsidR="004D455E" w:rsidRPr="0008040F">
        <w:rPr>
          <w:rFonts w:ascii="Arial" w:hAnsi="Arial" w:cs="Arial"/>
        </w:rPr>
        <w:t xml:space="preserve"> ne le touche pas directement</w:t>
      </w:r>
      <w:r w:rsidRPr="0008040F">
        <w:rPr>
          <w:rFonts w:ascii="Arial" w:hAnsi="Arial" w:cs="Arial"/>
        </w:rPr>
        <w:t xml:space="preserve">, le produit de l’astreinte </w:t>
      </w:r>
      <w:r w:rsidR="004D455E" w:rsidRPr="0008040F">
        <w:rPr>
          <w:rFonts w:ascii="Arial" w:hAnsi="Arial" w:cs="Arial"/>
        </w:rPr>
        <w:t xml:space="preserve">n’en bénéficie pas moins à des organismes chargés d’étoffer l’offre de logements sociaux ou (depuis </w:t>
      </w:r>
      <w:r w:rsidR="004D455E" w:rsidRPr="0008040F">
        <w:rPr>
          <w:rFonts w:ascii="Arial" w:hAnsi="Arial" w:cs="Arial"/>
        </w:rPr>
        <w:lastRenderedPageBreak/>
        <w:t xml:space="preserve">que le </w:t>
      </w:r>
      <w:r w:rsidR="00493E5A" w:rsidRPr="0008040F">
        <w:rPr>
          <w:rFonts w:ascii="Arial" w:hAnsi="Arial" w:cs="Arial"/>
        </w:rPr>
        <w:t xml:space="preserve">fonds national d'accompagnement vers et dans le logement a pris le relais) d’accompagner les familles </w:t>
      </w:r>
      <w:r w:rsidR="00426E5E" w:rsidRPr="0008040F">
        <w:rPr>
          <w:rFonts w:ascii="Arial" w:hAnsi="Arial" w:cs="Arial"/>
        </w:rPr>
        <w:t>à reloger</w:t>
      </w:r>
      <w:r w:rsidR="00493E5A" w:rsidRPr="0008040F">
        <w:rPr>
          <w:rFonts w:ascii="Arial" w:hAnsi="Arial" w:cs="Arial"/>
        </w:rPr>
        <w:t xml:space="preserve">. </w:t>
      </w:r>
      <w:r w:rsidR="00493E5A" w:rsidRPr="0008040F">
        <w:rPr>
          <w:rFonts w:ascii="Arial" w:eastAsiaTheme="minorEastAsia" w:hAnsi="Arial" w:cs="Arial"/>
        </w:rPr>
        <w:t>« Dans cette logique, le destinataire de l</w:t>
      </w:r>
      <w:r w:rsidR="00426E5E" w:rsidRPr="0008040F">
        <w:rPr>
          <w:rFonts w:ascii="Arial" w:eastAsiaTheme="minorEastAsia" w:hAnsi="Arial" w:cs="Arial"/>
        </w:rPr>
        <w:t xml:space="preserve">’astreinte devient indifférent : </w:t>
      </w:r>
      <w:r w:rsidR="00493E5A" w:rsidRPr="0008040F">
        <w:rPr>
          <w:rFonts w:ascii="Arial" w:eastAsiaTheme="minorEastAsia" w:hAnsi="Arial" w:cs="Arial"/>
        </w:rPr>
        <w:t>peu importe que l’astreinte ne soit pas versée au demandeur, pourvu que le coût engendré pour l’État rende pour lui préférable l’exécution plutôt que l’inexécution de la décision de justice »</w:t>
      </w:r>
      <w:r w:rsidR="00426E5E" w:rsidRPr="0008040F">
        <w:rPr>
          <w:rFonts w:ascii="Arial" w:eastAsiaTheme="minorEastAsia" w:hAnsi="Arial" w:cs="Arial"/>
        </w:rPr>
        <w:t xml:space="preserve">, </w:t>
      </w:r>
      <w:r w:rsidR="00471F80" w:rsidRPr="0008040F">
        <w:rPr>
          <w:rFonts w:ascii="Arial" w:eastAsiaTheme="minorEastAsia" w:hAnsi="Arial" w:cs="Arial"/>
        </w:rPr>
        <w:t>ont soutenu</w:t>
      </w:r>
      <w:r w:rsidR="00426E5E" w:rsidRPr="0008040F">
        <w:rPr>
          <w:rFonts w:ascii="Arial" w:eastAsiaTheme="minorEastAsia" w:hAnsi="Arial" w:cs="Arial"/>
        </w:rPr>
        <w:t xml:space="preserve"> les autorités</w:t>
      </w:r>
      <w:r w:rsidR="00493E5A" w:rsidRPr="0008040F">
        <w:rPr>
          <w:rFonts w:ascii="Arial" w:eastAsiaTheme="minorEastAsia" w:hAnsi="Arial" w:cs="Arial"/>
        </w:rPr>
        <w:t xml:space="preserve">. </w:t>
      </w:r>
    </w:p>
    <w:p w:rsidR="007160E5" w:rsidRPr="0008040F" w:rsidRDefault="007160E5" w:rsidP="004229B0">
      <w:pPr>
        <w:spacing w:line="360" w:lineRule="auto"/>
        <w:jc w:val="both"/>
        <w:rPr>
          <w:rFonts w:ascii="Arial" w:hAnsi="Arial" w:cs="Arial"/>
        </w:rPr>
      </w:pPr>
    </w:p>
    <w:p w:rsidR="001544EF" w:rsidRPr="0008040F" w:rsidRDefault="001544EF" w:rsidP="004229B0">
      <w:pPr>
        <w:spacing w:line="360" w:lineRule="auto"/>
        <w:ind w:firstLine="567"/>
        <w:jc w:val="both"/>
        <w:rPr>
          <w:rFonts w:ascii="Arial" w:hAnsi="Arial" w:cs="Arial"/>
        </w:rPr>
      </w:pPr>
      <w:r w:rsidRPr="0008040F">
        <w:rPr>
          <w:rFonts w:ascii="Arial" w:hAnsi="Arial" w:cs="Arial"/>
          <w:b/>
        </w:rPr>
        <w:t xml:space="preserve">5. </w:t>
      </w:r>
      <w:r w:rsidR="00493E5A" w:rsidRPr="0008040F">
        <w:rPr>
          <w:rFonts w:ascii="Arial" w:hAnsi="Arial" w:cs="Arial"/>
        </w:rPr>
        <w:t>Ce raisonnement</w:t>
      </w:r>
      <w:r w:rsidR="00A51AE3" w:rsidRPr="0008040F">
        <w:rPr>
          <w:rFonts w:ascii="Arial" w:hAnsi="Arial" w:cs="Arial"/>
        </w:rPr>
        <w:t xml:space="preserve"> n’a pas l’heur de convaincre</w:t>
      </w:r>
      <w:r w:rsidR="00493E5A" w:rsidRPr="0008040F">
        <w:rPr>
          <w:rFonts w:ascii="Arial" w:hAnsi="Arial" w:cs="Arial"/>
        </w:rPr>
        <w:t xml:space="preserve"> la Cour. L’astreinte tout d’abord, dont le seul objectif est de pousser l’État à exécuter les décisions de justice, n’a « aucune fonction compensatoire » pour l’intéressé</w:t>
      </w:r>
      <w:r w:rsidR="00CE55EB" w:rsidRPr="0008040F">
        <w:rPr>
          <w:rFonts w:ascii="Arial" w:hAnsi="Arial" w:cs="Arial"/>
        </w:rPr>
        <w:t>e</w:t>
      </w:r>
      <w:r w:rsidR="00493E5A" w:rsidRPr="0008040F">
        <w:rPr>
          <w:rFonts w:ascii="Arial" w:hAnsi="Arial" w:cs="Arial"/>
        </w:rPr>
        <w:t>. Ensuite, et le paiement de l’astreinte n’y change rien</w:t>
      </w:r>
      <w:r w:rsidR="00CE55EB" w:rsidRPr="0008040F">
        <w:rPr>
          <w:rFonts w:ascii="Arial" w:hAnsi="Arial" w:cs="Arial"/>
        </w:rPr>
        <w:t xml:space="preserve">, la décision du tribunal administratif n’a toujours pas </w:t>
      </w:r>
      <w:r w:rsidR="00471F80" w:rsidRPr="0008040F">
        <w:rPr>
          <w:rFonts w:ascii="Arial" w:hAnsi="Arial" w:cs="Arial"/>
        </w:rPr>
        <w:t>bénéficié d’une</w:t>
      </w:r>
      <w:r w:rsidR="00CE55EB" w:rsidRPr="0008040F">
        <w:rPr>
          <w:rFonts w:ascii="Arial" w:hAnsi="Arial" w:cs="Arial"/>
        </w:rPr>
        <w:t xml:space="preserve"> exécution (entendez : la femme n’a pas été relogée) plus trois ans et demi après son prononcé</w:t>
      </w:r>
      <w:r w:rsidR="00CE55EB" w:rsidRPr="0008040F">
        <w:rPr>
          <w:rStyle w:val="Appelnotedebasdep"/>
          <w:rFonts w:ascii="Arial" w:hAnsi="Arial" w:cs="Arial"/>
        </w:rPr>
        <w:footnoteReference w:id="14"/>
      </w:r>
      <w:r w:rsidR="00CE55EB" w:rsidRPr="0008040F">
        <w:rPr>
          <w:rFonts w:ascii="Arial" w:hAnsi="Arial" w:cs="Arial"/>
        </w:rPr>
        <w:t xml:space="preserve"> ; cette impéritie est d’autant plus choquante que, précisément, sa situation </w:t>
      </w:r>
      <w:r w:rsidR="00471F80" w:rsidRPr="0008040F">
        <w:rPr>
          <w:rFonts w:ascii="Arial" w:hAnsi="Arial" w:cs="Arial"/>
        </w:rPr>
        <w:t>devait</w:t>
      </w:r>
      <w:r w:rsidR="00CE55EB" w:rsidRPr="0008040F">
        <w:rPr>
          <w:rFonts w:ascii="Arial" w:hAnsi="Arial" w:cs="Arial"/>
        </w:rPr>
        <w:t xml:space="preserve"> lui valoir l’octroi d’un logement « en urgence ».</w:t>
      </w:r>
      <w:r w:rsidR="000B4C0D" w:rsidRPr="0008040F">
        <w:rPr>
          <w:rFonts w:ascii="Arial" w:hAnsi="Arial" w:cs="Arial"/>
        </w:rPr>
        <w:t xml:space="preserve"> </w:t>
      </w:r>
      <w:r w:rsidR="0058699A" w:rsidRPr="0008040F">
        <w:rPr>
          <w:rFonts w:ascii="Arial" w:hAnsi="Arial" w:cs="Arial"/>
        </w:rPr>
        <w:t>Par là</w:t>
      </w:r>
      <w:r w:rsidR="000B4C0D" w:rsidRPr="0008040F">
        <w:rPr>
          <w:rFonts w:ascii="Arial" w:hAnsi="Arial" w:cs="Arial"/>
        </w:rPr>
        <w:t>, le roi</w:t>
      </w:r>
      <w:r w:rsidR="00E37439" w:rsidRPr="0008040F">
        <w:rPr>
          <w:rFonts w:ascii="Arial" w:hAnsi="Arial" w:cs="Arial"/>
        </w:rPr>
        <w:t>-législateur</w:t>
      </w:r>
      <w:r w:rsidR="000B4C0D" w:rsidRPr="0008040F">
        <w:rPr>
          <w:rFonts w:ascii="Arial" w:hAnsi="Arial" w:cs="Arial"/>
        </w:rPr>
        <w:t xml:space="preserve"> est nu en quelque sorte (ou à tout le moins placé devant ses propres limites — voire contradictions), lui </w:t>
      </w:r>
      <w:r w:rsidR="001E08C7" w:rsidRPr="0008040F">
        <w:rPr>
          <w:rFonts w:ascii="Arial" w:hAnsi="Arial" w:cs="Arial"/>
        </w:rPr>
        <w:t>qui a fait mine de</w:t>
      </w:r>
      <w:r w:rsidR="000B4C0D" w:rsidRPr="0008040F">
        <w:rPr>
          <w:rFonts w:ascii="Arial" w:hAnsi="Arial" w:cs="Arial"/>
        </w:rPr>
        <w:t xml:space="preserve"> couler dans le droit positif un véritable « droi</w:t>
      </w:r>
      <w:r w:rsidR="00201E92" w:rsidRPr="0008040F">
        <w:rPr>
          <w:rFonts w:ascii="Arial" w:hAnsi="Arial" w:cs="Arial"/>
        </w:rPr>
        <w:t xml:space="preserve">t » </w:t>
      </w:r>
      <w:r w:rsidR="001E08C7" w:rsidRPr="0008040F">
        <w:rPr>
          <w:rFonts w:ascii="Arial" w:hAnsi="Arial" w:cs="Arial"/>
        </w:rPr>
        <w:t xml:space="preserve">(subjectif) au logement, </w:t>
      </w:r>
      <w:r w:rsidR="00201E92" w:rsidRPr="0008040F">
        <w:rPr>
          <w:rFonts w:ascii="Arial" w:hAnsi="Arial" w:cs="Arial"/>
        </w:rPr>
        <w:t>et opposable par surcroît</w:t>
      </w:r>
      <w:r w:rsidR="000B4C0D" w:rsidRPr="0008040F">
        <w:rPr>
          <w:rFonts w:ascii="Arial" w:hAnsi="Arial" w:cs="Arial"/>
        </w:rPr>
        <w:t>.</w:t>
      </w:r>
      <w:r w:rsidR="00E37439" w:rsidRPr="0008040F">
        <w:rPr>
          <w:rFonts w:ascii="Arial" w:hAnsi="Arial" w:cs="Arial"/>
        </w:rPr>
        <w:t xml:space="preserve"> À tout le moins, </w:t>
      </w:r>
      <w:r w:rsidR="001E08C7" w:rsidRPr="0008040F">
        <w:rPr>
          <w:rFonts w:ascii="Arial" w:hAnsi="Arial" w:cs="Arial"/>
        </w:rPr>
        <w:t xml:space="preserve">et c’est un autre enseignement digne d’intérêt, </w:t>
      </w:r>
      <w:r w:rsidR="00E37439" w:rsidRPr="0008040F">
        <w:rPr>
          <w:rFonts w:ascii="Arial" w:hAnsi="Arial" w:cs="Arial"/>
        </w:rPr>
        <w:t xml:space="preserve">c’est à </w:t>
      </w:r>
      <w:r w:rsidR="001E08C7" w:rsidRPr="0008040F">
        <w:rPr>
          <w:rFonts w:ascii="Arial" w:hAnsi="Arial" w:cs="Arial"/>
        </w:rPr>
        <w:t>hauteur</w:t>
      </w:r>
      <w:r w:rsidR="00E37439" w:rsidRPr="0008040F">
        <w:rPr>
          <w:rFonts w:ascii="Arial" w:hAnsi="Arial" w:cs="Arial"/>
        </w:rPr>
        <w:t xml:space="preserve"> de justiciable qu’il convient de se placer pour apprécier l’effectivité réelle d’une politique</w:t>
      </w:r>
      <w:r w:rsidR="001E08C7" w:rsidRPr="0008040F">
        <w:rPr>
          <w:rFonts w:ascii="Arial" w:hAnsi="Arial" w:cs="Arial"/>
        </w:rPr>
        <w:t>, et exclusivement à son niveau</w:t>
      </w:r>
      <w:r w:rsidR="00E37439" w:rsidRPr="0008040F">
        <w:rPr>
          <w:rFonts w:ascii="Arial" w:hAnsi="Arial" w:cs="Arial"/>
        </w:rPr>
        <w:t>.</w:t>
      </w:r>
    </w:p>
    <w:p w:rsidR="00E37439" w:rsidRPr="0008040F" w:rsidRDefault="00BC1311" w:rsidP="0042552E">
      <w:pPr>
        <w:spacing w:line="360" w:lineRule="auto"/>
        <w:ind w:firstLine="567"/>
        <w:jc w:val="both"/>
        <w:rPr>
          <w:rFonts w:ascii="Arial" w:eastAsiaTheme="minorEastAsia" w:hAnsi="Arial" w:cs="Arial"/>
        </w:rPr>
      </w:pPr>
      <w:r w:rsidRPr="0008040F">
        <w:rPr>
          <w:rFonts w:ascii="Arial" w:hAnsi="Arial" w:cs="Arial"/>
        </w:rPr>
        <w:t>Certes, admet la haute juridiction, la carence des autorités peut s’expliquer par la pénurie de logements disponibles</w:t>
      </w:r>
      <w:r w:rsidR="0017580C" w:rsidRPr="0008040F">
        <w:rPr>
          <w:rStyle w:val="Appelnotedebasdep"/>
          <w:rFonts w:ascii="Arial" w:hAnsi="Arial" w:cs="Arial"/>
        </w:rPr>
        <w:footnoteReference w:id="15"/>
      </w:r>
      <w:r w:rsidRPr="0008040F">
        <w:rPr>
          <w:rFonts w:ascii="Arial" w:hAnsi="Arial" w:cs="Arial"/>
        </w:rPr>
        <w:t xml:space="preserve"> ; à l’impossible nul ne serait tenu, en quelque sorte. Et aucune décision de justice n’a le pouvoir de faire sortir des logements de terre… </w:t>
      </w:r>
      <w:r w:rsidR="000F3215" w:rsidRPr="0008040F">
        <w:rPr>
          <w:rFonts w:ascii="Arial" w:hAnsi="Arial" w:cs="Arial"/>
        </w:rPr>
        <w:t>Néanmoins</w:t>
      </w:r>
      <w:r w:rsidRPr="0008040F">
        <w:rPr>
          <w:rFonts w:ascii="Arial" w:hAnsi="Arial" w:cs="Arial"/>
        </w:rPr>
        <w:t>, ce genre d’explication empirique « ne se fonde sur aucune justification valable »</w:t>
      </w:r>
      <w:r w:rsidR="00E37439" w:rsidRPr="0008040F">
        <w:rPr>
          <w:rFonts w:ascii="Arial" w:hAnsi="Arial" w:cs="Arial"/>
        </w:rPr>
        <w:t xml:space="preserve">, </w:t>
      </w:r>
      <w:r w:rsidR="000F3215" w:rsidRPr="0008040F">
        <w:rPr>
          <w:rFonts w:ascii="Arial" w:hAnsi="Arial" w:cs="Arial"/>
        </w:rPr>
        <w:t>réplique</w:t>
      </w:r>
      <w:r w:rsidR="00E37439" w:rsidRPr="0008040F">
        <w:rPr>
          <w:rFonts w:ascii="Arial" w:hAnsi="Arial" w:cs="Arial"/>
        </w:rPr>
        <w:t xml:space="preserve"> la Cour</w:t>
      </w:r>
      <w:r w:rsidR="0042552E" w:rsidRPr="0008040F">
        <w:rPr>
          <w:rFonts w:ascii="Arial" w:hAnsi="Arial" w:cs="Arial"/>
        </w:rPr>
        <w:t> ; a</w:t>
      </w:r>
      <w:r w:rsidRPr="0008040F">
        <w:rPr>
          <w:rFonts w:ascii="Arial" w:hAnsi="Arial" w:cs="Arial"/>
        </w:rPr>
        <w:t>utrement dit, « </w:t>
      </w:r>
      <w:r w:rsidRPr="0008040F">
        <w:rPr>
          <w:rFonts w:ascii="Arial" w:eastAsiaTheme="minorEastAsia" w:hAnsi="Arial" w:cs="Arial"/>
        </w:rPr>
        <w:t xml:space="preserve">une autorité de l’État ne peut prétexter du manque de fonds ou d’autres ressources pour ne pas honorer, par exemple, une dette fondée sur une décision de justice ». </w:t>
      </w:r>
      <w:r w:rsidR="00E37439" w:rsidRPr="0008040F">
        <w:rPr>
          <w:rFonts w:ascii="Arial" w:eastAsiaTheme="minorEastAsia" w:hAnsi="Arial" w:cs="Arial"/>
        </w:rPr>
        <w:t>Partant,  la violation de l’article 6 est avérée.</w:t>
      </w:r>
    </w:p>
    <w:p w:rsidR="0042552E" w:rsidRPr="0008040F" w:rsidRDefault="009F5C5E" w:rsidP="0042552E">
      <w:pPr>
        <w:spacing w:line="360" w:lineRule="auto"/>
        <w:ind w:firstLine="567"/>
        <w:jc w:val="both"/>
        <w:rPr>
          <w:rFonts w:ascii="Arial" w:eastAsiaTheme="minorEastAsia" w:hAnsi="Arial" w:cs="Arial"/>
        </w:rPr>
      </w:pPr>
      <w:r w:rsidRPr="0008040F">
        <w:rPr>
          <w:rFonts w:ascii="Arial" w:eastAsiaTheme="minorEastAsia" w:hAnsi="Arial" w:cs="Arial"/>
        </w:rPr>
        <w:t>Touchant à des considérations d’ordre pécuniaire ou matériel, c</w:t>
      </w:r>
      <w:r w:rsidR="00E37439" w:rsidRPr="0008040F">
        <w:rPr>
          <w:rFonts w:ascii="Arial" w:eastAsiaTheme="minorEastAsia" w:hAnsi="Arial" w:cs="Arial"/>
        </w:rPr>
        <w:t>e dernier</w:t>
      </w:r>
      <w:r w:rsidRPr="0008040F">
        <w:rPr>
          <w:rFonts w:ascii="Arial" w:eastAsiaTheme="minorEastAsia" w:hAnsi="Arial" w:cs="Arial"/>
        </w:rPr>
        <w:t xml:space="preserve"> argument</w:t>
      </w:r>
      <w:r w:rsidR="00E37439" w:rsidRPr="0008040F">
        <w:rPr>
          <w:rFonts w:ascii="Arial" w:eastAsiaTheme="minorEastAsia" w:hAnsi="Arial" w:cs="Arial"/>
        </w:rPr>
        <w:t xml:space="preserve"> ne manque pas de faire</w:t>
      </w:r>
      <w:r w:rsidR="0042552E" w:rsidRPr="0008040F">
        <w:rPr>
          <w:rFonts w:ascii="Arial" w:eastAsiaTheme="minorEastAsia" w:hAnsi="Arial" w:cs="Arial"/>
        </w:rPr>
        <w:t xml:space="preserve"> écho à la jurisprudence de la </w:t>
      </w:r>
      <w:r w:rsidR="000F3215" w:rsidRPr="0008040F">
        <w:rPr>
          <w:rFonts w:ascii="Arial" w:eastAsiaTheme="minorEastAsia" w:hAnsi="Arial" w:cs="Arial"/>
        </w:rPr>
        <w:t xml:space="preserve">même </w:t>
      </w:r>
      <w:r w:rsidR="0042552E" w:rsidRPr="0008040F">
        <w:rPr>
          <w:rFonts w:ascii="Arial" w:eastAsiaTheme="minorEastAsia" w:hAnsi="Arial" w:cs="Arial"/>
        </w:rPr>
        <w:t xml:space="preserve">Cour </w:t>
      </w:r>
      <w:r w:rsidR="00846093" w:rsidRPr="0008040F">
        <w:rPr>
          <w:rFonts w:ascii="Arial" w:eastAsiaTheme="minorEastAsia" w:hAnsi="Arial" w:cs="Arial"/>
        </w:rPr>
        <w:t xml:space="preserve">(dans un </w:t>
      </w:r>
      <w:r w:rsidR="00846093" w:rsidRPr="0008040F">
        <w:rPr>
          <w:rFonts w:ascii="Arial" w:eastAsiaTheme="minorEastAsia" w:hAnsi="Arial" w:cs="Arial"/>
        </w:rPr>
        <w:lastRenderedPageBreak/>
        <w:t xml:space="preserve">domaine approchant — quoique inversé pour ainsi dire) </w:t>
      </w:r>
      <w:r w:rsidR="0042552E" w:rsidRPr="0008040F">
        <w:rPr>
          <w:rFonts w:ascii="Arial" w:eastAsiaTheme="minorEastAsia" w:hAnsi="Arial" w:cs="Arial"/>
        </w:rPr>
        <w:t xml:space="preserve">selon laquelle </w:t>
      </w:r>
      <w:r w:rsidR="0042552E" w:rsidRPr="0008040F">
        <w:rPr>
          <w:rFonts w:ascii="Arial" w:hAnsi="Arial" w:cs="Arial"/>
        </w:rPr>
        <w:t>l'absence de solution de relogement ne saurait excuser l’inertie de l’Etat à appliquer une expulsion décidée par un juge</w:t>
      </w:r>
      <w:r w:rsidR="0042552E" w:rsidRPr="0008040F">
        <w:rPr>
          <w:rStyle w:val="Appelnotedebasdep"/>
          <w:rFonts w:ascii="Arial" w:hAnsi="Arial" w:cs="Arial"/>
        </w:rPr>
        <w:footnoteReference w:id="16"/>
      </w:r>
      <w:r w:rsidR="00846093" w:rsidRPr="0008040F">
        <w:rPr>
          <w:rFonts w:ascii="Arial" w:hAnsi="Arial" w:cs="Arial"/>
        </w:rPr>
        <w:t>.</w:t>
      </w:r>
      <w:r w:rsidR="000B4C0D" w:rsidRPr="0008040F">
        <w:rPr>
          <w:rFonts w:ascii="Arial" w:hAnsi="Arial" w:cs="Arial"/>
        </w:rPr>
        <w:t xml:space="preserve"> </w:t>
      </w:r>
      <w:r w:rsidR="00E37439" w:rsidRPr="0008040F">
        <w:rPr>
          <w:rFonts w:ascii="Arial" w:hAnsi="Arial" w:cs="Arial"/>
        </w:rPr>
        <w:t xml:space="preserve">Et, par delà encore, c’est </w:t>
      </w:r>
      <w:r w:rsidR="00FA57F2" w:rsidRPr="0008040F">
        <w:rPr>
          <w:rFonts w:ascii="Arial" w:hAnsi="Arial" w:cs="Arial"/>
        </w:rPr>
        <w:t>peut-être à</w:t>
      </w:r>
      <w:r w:rsidR="00E37439" w:rsidRPr="0008040F">
        <w:rPr>
          <w:rFonts w:ascii="Arial" w:hAnsi="Arial" w:cs="Arial"/>
        </w:rPr>
        <w:t xml:space="preserve"> une exécution </w:t>
      </w:r>
      <w:r w:rsidR="00E37439" w:rsidRPr="0008040F">
        <w:rPr>
          <w:rFonts w:ascii="Arial" w:hAnsi="Arial" w:cs="Arial"/>
          <w:i/>
        </w:rPr>
        <w:t>en nature</w:t>
      </w:r>
      <w:r w:rsidR="00E37439" w:rsidRPr="0008040F">
        <w:rPr>
          <w:rFonts w:ascii="Arial" w:hAnsi="Arial" w:cs="Arial"/>
        </w:rPr>
        <w:t xml:space="preserve"> (plutôt qu’en espèce) </w:t>
      </w:r>
      <w:r w:rsidR="00FA57F2" w:rsidRPr="0008040F">
        <w:rPr>
          <w:rFonts w:ascii="Arial" w:hAnsi="Arial" w:cs="Arial"/>
        </w:rPr>
        <w:t>que la Cour en appelle ce faisant (à titre alternatif)</w:t>
      </w:r>
      <w:r w:rsidR="00E37439" w:rsidRPr="0008040F">
        <w:rPr>
          <w:rFonts w:ascii="Arial" w:hAnsi="Arial" w:cs="Arial"/>
        </w:rPr>
        <w:t>, ce qui serait un moindre mal assurément.</w:t>
      </w:r>
    </w:p>
    <w:p w:rsidR="00A51AE3" w:rsidRPr="0008040F" w:rsidRDefault="00A51AE3" w:rsidP="009F5C5E">
      <w:pPr>
        <w:spacing w:line="360" w:lineRule="auto"/>
        <w:jc w:val="both"/>
        <w:rPr>
          <w:rFonts w:ascii="Arial" w:eastAsiaTheme="minorEastAsia" w:hAnsi="Arial" w:cs="Arial"/>
        </w:rPr>
      </w:pPr>
    </w:p>
    <w:p w:rsidR="00A51AE3" w:rsidRPr="0008040F" w:rsidRDefault="00A51AE3" w:rsidP="000B4C0D">
      <w:pPr>
        <w:spacing w:line="360" w:lineRule="auto"/>
        <w:ind w:firstLine="567"/>
        <w:jc w:val="both"/>
        <w:rPr>
          <w:rFonts w:ascii="Arial" w:eastAsiaTheme="minorEastAsia" w:hAnsi="Arial" w:cs="Arial"/>
        </w:rPr>
      </w:pPr>
      <w:r w:rsidRPr="0008040F">
        <w:rPr>
          <w:rFonts w:ascii="Arial" w:eastAsiaTheme="minorEastAsia" w:hAnsi="Arial" w:cs="Arial"/>
          <w:b/>
        </w:rPr>
        <w:t xml:space="preserve">6. </w:t>
      </w:r>
      <w:r w:rsidR="009F5C5E" w:rsidRPr="0008040F">
        <w:rPr>
          <w:rFonts w:ascii="Arial" w:eastAsiaTheme="minorEastAsia" w:hAnsi="Arial" w:cs="Arial"/>
        </w:rPr>
        <w:t>Est-on fondé à conclure</w:t>
      </w:r>
      <w:r w:rsidRPr="0008040F">
        <w:rPr>
          <w:rFonts w:ascii="Arial" w:eastAsiaTheme="minorEastAsia" w:hAnsi="Arial" w:cs="Arial"/>
        </w:rPr>
        <w:t xml:space="preserve"> que, par son arrêt du 9 mai 2015, la Cour </w:t>
      </w:r>
      <w:r w:rsidR="0000689F" w:rsidRPr="0008040F">
        <w:rPr>
          <w:rFonts w:ascii="Arial" w:eastAsiaTheme="minorEastAsia" w:hAnsi="Arial" w:cs="Arial"/>
        </w:rPr>
        <w:t>promeut</w:t>
      </w:r>
      <w:r w:rsidRPr="0008040F">
        <w:rPr>
          <w:rFonts w:ascii="Arial" w:eastAsiaTheme="minorEastAsia" w:hAnsi="Arial" w:cs="Arial"/>
        </w:rPr>
        <w:t xml:space="preserve"> quelque chose comme un droit au logement (absent </w:t>
      </w:r>
      <w:r w:rsidRPr="0008040F">
        <w:rPr>
          <w:rFonts w:ascii="Arial" w:eastAsiaTheme="minorEastAsia" w:hAnsi="Arial" w:cs="Arial"/>
          <w:i/>
        </w:rPr>
        <w:t xml:space="preserve">in se </w:t>
      </w:r>
      <w:r w:rsidRPr="0008040F">
        <w:rPr>
          <w:rFonts w:ascii="Arial" w:eastAsiaTheme="minorEastAsia" w:hAnsi="Arial" w:cs="Arial"/>
        </w:rPr>
        <w:t xml:space="preserve">de la Convention) ? Non pas, pour la raison simple qu’est ici en jeu une exigence </w:t>
      </w:r>
      <w:r w:rsidR="0068490D" w:rsidRPr="0008040F">
        <w:rPr>
          <w:rFonts w:ascii="Arial" w:eastAsiaTheme="minorEastAsia" w:hAnsi="Arial" w:cs="Arial"/>
        </w:rPr>
        <w:t xml:space="preserve">purement </w:t>
      </w:r>
      <w:r w:rsidRPr="0008040F">
        <w:rPr>
          <w:rFonts w:ascii="Arial" w:eastAsiaTheme="minorEastAsia" w:hAnsi="Arial" w:cs="Arial"/>
          <w:i/>
        </w:rPr>
        <w:t>procédurale</w:t>
      </w:r>
      <w:r w:rsidRPr="0008040F">
        <w:rPr>
          <w:rFonts w:ascii="Arial" w:eastAsiaTheme="minorEastAsia" w:hAnsi="Arial" w:cs="Arial"/>
        </w:rPr>
        <w:t xml:space="preserve"> </w:t>
      </w:r>
      <w:r w:rsidR="0000689F" w:rsidRPr="0008040F">
        <w:rPr>
          <w:rFonts w:ascii="Arial" w:eastAsiaTheme="minorEastAsia" w:hAnsi="Arial" w:cs="Arial"/>
        </w:rPr>
        <w:t>(l’exécution des décisions de justice) plus qu’une prérogative substantielle</w:t>
      </w:r>
      <w:r w:rsidR="009E0B23" w:rsidRPr="0008040F">
        <w:rPr>
          <w:rFonts w:ascii="Arial" w:eastAsiaTheme="minorEastAsia" w:hAnsi="Arial" w:cs="Arial"/>
        </w:rPr>
        <w:t xml:space="preserve">, à l’inverse par exemple de l’arrêt </w:t>
      </w:r>
      <w:proofErr w:type="spellStart"/>
      <w:r w:rsidR="009E0B23" w:rsidRPr="0008040F">
        <w:rPr>
          <w:rFonts w:ascii="Arial" w:eastAsiaTheme="minorEastAsia" w:hAnsi="Arial" w:cs="Arial"/>
          <w:i/>
        </w:rPr>
        <w:t>Winterstein</w:t>
      </w:r>
      <w:proofErr w:type="spellEnd"/>
      <w:r w:rsidR="009E0B23" w:rsidRPr="0008040F">
        <w:rPr>
          <w:rFonts w:ascii="Arial" w:eastAsiaTheme="minorEastAsia" w:hAnsi="Arial" w:cs="Arial"/>
          <w:i/>
        </w:rPr>
        <w:t xml:space="preserve"> </w:t>
      </w:r>
      <w:r w:rsidR="00F241EB" w:rsidRPr="0008040F">
        <w:rPr>
          <w:rFonts w:ascii="Arial" w:eastAsiaTheme="minorEastAsia" w:hAnsi="Arial" w:cs="Arial"/>
          <w:i/>
        </w:rPr>
        <w:t xml:space="preserve">et autres </w:t>
      </w:r>
      <w:r w:rsidR="009E0B23" w:rsidRPr="0008040F">
        <w:rPr>
          <w:rFonts w:ascii="Arial" w:eastAsiaTheme="minorEastAsia" w:hAnsi="Arial" w:cs="Arial"/>
          <w:i/>
        </w:rPr>
        <w:t>c. France</w:t>
      </w:r>
      <w:r w:rsidR="009E0B23" w:rsidRPr="0008040F">
        <w:rPr>
          <w:rFonts w:ascii="Arial" w:eastAsiaTheme="minorEastAsia" w:hAnsi="Arial" w:cs="Arial"/>
        </w:rPr>
        <w:t xml:space="preserve"> du </w:t>
      </w:r>
      <w:r w:rsidR="00F241EB" w:rsidRPr="0008040F">
        <w:rPr>
          <w:rFonts w:ascii="Arial" w:eastAsiaTheme="minorEastAsia" w:hAnsi="Arial" w:cs="Arial"/>
        </w:rPr>
        <w:t>17 octobre 2013</w:t>
      </w:r>
      <w:r w:rsidR="009E0B23" w:rsidRPr="0008040F">
        <w:rPr>
          <w:rStyle w:val="Appelnotedebasdep"/>
          <w:rFonts w:ascii="Arial" w:eastAsiaTheme="minorEastAsia" w:hAnsi="Arial" w:cs="Arial"/>
        </w:rPr>
        <w:footnoteReference w:id="17"/>
      </w:r>
      <w:r w:rsidR="0000689F" w:rsidRPr="0008040F">
        <w:rPr>
          <w:rFonts w:ascii="Arial" w:eastAsiaTheme="minorEastAsia" w:hAnsi="Arial" w:cs="Arial"/>
        </w:rPr>
        <w:t xml:space="preserve">. Il n’empêche, consécration il </w:t>
      </w:r>
      <w:r w:rsidR="00F321C9" w:rsidRPr="0008040F">
        <w:rPr>
          <w:rFonts w:ascii="Arial" w:eastAsiaTheme="minorEastAsia" w:hAnsi="Arial" w:cs="Arial"/>
        </w:rPr>
        <w:t xml:space="preserve">y a bien, de manière indirecte. </w:t>
      </w:r>
      <w:r w:rsidR="009F5C5E" w:rsidRPr="0008040F">
        <w:rPr>
          <w:rFonts w:ascii="Arial" w:eastAsiaTheme="minorEastAsia" w:hAnsi="Arial" w:cs="Arial"/>
        </w:rPr>
        <w:t>Par exemple</w:t>
      </w:r>
      <w:r w:rsidR="00F321C9" w:rsidRPr="0008040F">
        <w:rPr>
          <w:rFonts w:ascii="Arial" w:eastAsiaTheme="minorEastAsia" w:hAnsi="Arial" w:cs="Arial"/>
        </w:rPr>
        <w:t xml:space="preserve">, en obligeant (dans son arrêt </w:t>
      </w:r>
      <w:proofErr w:type="spellStart"/>
      <w:r w:rsidR="00F321C9" w:rsidRPr="0008040F">
        <w:rPr>
          <w:rFonts w:ascii="Arial" w:eastAsiaTheme="minorEastAsia" w:hAnsi="Arial" w:cs="Arial"/>
          <w:i/>
        </w:rPr>
        <w:t>McCann</w:t>
      </w:r>
      <w:proofErr w:type="spellEnd"/>
      <w:r w:rsidR="004B2B86" w:rsidRPr="0008040F">
        <w:rPr>
          <w:rFonts w:ascii="Arial" w:eastAsiaTheme="minorEastAsia" w:hAnsi="Arial" w:cs="Arial"/>
        </w:rPr>
        <w:t xml:space="preserve"> du 13 mai 2008</w:t>
      </w:r>
      <w:r w:rsidR="00F321C9" w:rsidRPr="0008040F">
        <w:rPr>
          <w:rFonts w:ascii="Arial" w:eastAsiaTheme="minorEastAsia" w:hAnsi="Arial" w:cs="Arial"/>
        </w:rPr>
        <w:t xml:space="preserve">) </w:t>
      </w:r>
      <w:r w:rsidR="004B2B86" w:rsidRPr="0008040F">
        <w:rPr>
          <w:rFonts w:ascii="Arial" w:eastAsiaTheme="minorEastAsia" w:hAnsi="Arial" w:cs="Arial"/>
        </w:rPr>
        <w:t>le Royaume-Uni</w:t>
      </w:r>
      <w:r w:rsidR="000C5818" w:rsidRPr="0008040F">
        <w:rPr>
          <w:rFonts w:ascii="Arial" w:eastAsiaTheme="minorEastAsia" w:hAnsi="Arial" w:cs="Arial"/>
        </w:rPr>
        <w:t xml:space="preserve"> à soumettre à contrôle judiciaire préalable </w:t>
      </w:r>
      <w:r w:rsidR="00F321C9" w:rsidRPr="0008040F">
        <w:rPr>
          <w:rFonts w:ascii="Arial" w:eastAsiaTheme="minorEastAsia" w:hAnsi="Arial" w:cs="Arial"/>
        </w:rPr>
        <w:t xml:space="preserve">une décision aussi lourde de </w:t>
      </w:r>
      <w:r w:rsidR="000C5818" w:rsidRPr="0008040F">
        <w:rPr>
          <w:rFonts w:ascii="Arial" w:eastAsiaTheme="minorEastAsia" w:hAnsi="Arial" w:cs="Arial"/>
        </w:rPr>
        <w:t>conséquences juridiques</w:t>
      </w:r>
      <w:r w:rsidR="00F321C9" w:rsidRPr="0008040F">
        <w:rPr>
          <w:rFonts w:ascii="Arial" w:eastAsiaTheme="minorEastAsia" w:hAnsi="Arial" w:cs="Arial"/>
        </w:rPr>
        <w:t xml:space="preserve"> qu’est </w:t>
      </w:r>
      <w:r w:rsidR="000C5818" w:rsidRPr="0008040F">
        <w:rPr>
          <w:rFonts w:ascii="Arial" w:eastAsiaTheme="minorEastAsia" w:hAnsi="Arial" w:cs="Arial"/>
        </w:rPr>
        <w:t>la privation de domicile</w:t>
      </w:r>
      <w:r w:rsidR="00F321C9" w:rsidRPr="0008040F">
        <w:rPr>
          <w:rFonts w:ascii="Arial" w:eastAsiaTheme="minorEastAsia" w:hAnsi="Arial" w:cs="Arial"/>
        </w:rPr>
        <w:t xml:space="preserve">, </w:t>
      </w:r>
      <w:r w:rsidR="009A6032" w:rsidRPr="0008040F">
        <w:rPr>
          <w:rFonts w:ascii="Arial" w:eastAsiaTheme="minorEastAsia" w:hAnsi="Arial" w:cs="Arial"/>
        </w:rPr>
        <w:t xml:space="preserve">la Cour </w:t>
      </w:r>
      <w:r w:rsidR="000C5818" w:rsidRPr="0008040F">
        <w:rPr>
          <w:rFonts w:ascii="Arial" w:eastAsiaTheme="minorEastAsia" w:hAnsi="Arial" w:cs="Arial"/>
        </w:rPr>
        <w:t xml:space="preserve">tend à </w:t>
      </w:r>
      <w:r w:rsidR="009A6032" w:rsidRPr="0008040F">
        <w:rPr>
          <w:rFonts w:ascii="Arial" w:eastAsiaTheme="minorEastAsia" w:hAnsi="Arial" w:cs="Arial"/>
        </w:rPr>
        <w:t>érige</w:t>
      </w:r>
      <w:r w:rsidR="000C5818" w:rsidRPr="0008040F">
        <w:rPr>
          <w:rFonts w:ascii="Arial" w:eastAsiaTheme="minorEastAsia" w:hAnsi="Arial" w:cs="Arial"/>
        </w:rPr>
        <w:t>r</w:t>
      </w:r>
      <w:r w:rsidR="009A6032" w:rsidRPr="0008040F">
        <w:rPr>
          <w:rFonts w:ascii="Arial" w:eastAsiaTheme="minorEastAsia" w:hAnsi="Arial" w:cs="Arial"/>
        </w:rPr>
        <w:t xml:space="preserve"> en intérêt conventionnellement protégé l’interdit de l’expulsion sans </w:t>
      </w:r>
      <w:r w:rsidR="009F5C5E" w:rsidRPr="0008040F">
        <w:rPr>
          <w:rFonts w:ascii="Arial" w:eastAsiaTheme="minorEastAsia" w:hAnsi="Arial" w:cs="Arial"/>
        </w:rPr>
        <w:t>égard aucun</w:t>
      </w:r>
      <w:r w:rsidR="000C5818" w:rsidRPr="0008040F">
        <w:rPr>
          <w:rFonts w:ascii="Arial" w:eastAsiaTheme="minorEastAsia" w:hAnsi="Arial" w:cs="Arial"/>
        </w:rPr>
        <w:t xml:space="preserve"> pour le </w:t>
      </w:r>
      <w:r w:rsidR="009A6032" w:rsidRPr="0008040F">
        <w:rPr>
          <w:rFonts w:ascii="Arial" w:eastAsiaTheme="minorEastAsia" w:hAnsi="Arial" w:cs="Arial"/>
        </w:rPr>
        <w:t>relogement.</w:t>
      </w:r>
      <w:r w:rsidR="00F321C9" w:rsidRPr="0008040F">
        <w:rPr>
          <w:rFonts w:ascii="Arial" w:eastAsiaTheme="minorEastAsia" w:hAnsi="Arial" w:cs="Arial"/>
        </w:rPr>
        <w:t xml:space="preserve"> </w:t>
      </w:r>
      <w:r w:rsidR="000B4C0D" w:rsidRPr="0008040F">
        <w:rPr>
          <w:rFonts w:ascii="Arial" w:eastAsiaTheme="minorEastAsia" w:hAnsi="Arial" w:cs="Arial"/>
        </w:rPr>
        <w:t>Et, de manière générale</w:t>
      </w:r>
      <w:r w:rsidR="0000689F" w:rsidRPr="0008040F">
        <w:rPr>
          <w:rFonts w:ascii="Arial" w:eastAsiaTheme="minorEastAsia" w:hAnsi="Arial" w:cs="Arial"/>
        </w:rPr>
        <w:t xml:space="preserve">, l’étude de la (stimulante) </w:t>
      </w:r>
      <w:r w:rsidR="00F321C9" w:rsidRPr="0008040F">
        <w:rPr>
          <w:rFonts w:ascii="Arial" w:eastAsiaTheme="minorEastAsia" w:hAnsi="Arial" w:cs="Arial"/>
        </w:rPr>
        <w:t>production</w:t>
      </w:r>
      <w:r w:rsidR="0000689F" w:rsidRPr="0008040F">
        <w:rPr>
          <w:rFonts w:ascii="Arial" w:eastAsiaTheme="minorEastAsia" w:hAnsi="Arial" w:cs="Arial"/>
        </w:rPr>
        <w:t xml:space="preserve"> strasbourgeoise en matière de d</w:t>
      </w:r>
      <w:r w:rsidR="00F321C9" w:rsidRPr="0008040F">
        <w:rPr>
          <w:rFonts w:ascii="Arial" w:eastAsiaTheme="minorEastAsia" w:hAnsi="Arial" w:cs="Arial"/>
        </w:rPr>
        <w:t>roit au logement enseigne qu’un</w:t>
      </w:r>
      <w:r w:rsidR="004B2B86" w:rsidRPr="0008040F">
        <w:rPr>
          <w:rFonts w:ascii="Arial" w:eastAsiaTheme="minorEastAsia" w:hAnsi="Arial" w:cs="Arial"/>
        </w:rPr>
        <w:t xml:space="preserve">e telle jurisprudence n’a pu s’édifier </w:t>
      </w:r>
      <w:r w:rsidR="00F321C9" w:rsidRPr="0008040F">
        <w:rPr>
          <w:rFonts w:ascii="Arial" w:eastAsiaTheme="minorEastAsia" w:hAnsi="Arial" w:cs="Arial"/>
        </w:rPr>
        <w:t xml:space="preserve">que par la multiplication </w:t>
      </w:r>
      <w:r w:rsidR="0000689F" w:rsidRPr="0008040F">
        <w:rPr>
          <w:rFonts w:ascii="Arial" w:eastAsiaTheme="minorEastAsia" w:hAnsi="Arial" w:cs="Arial"/>
        </w:rPr>
        <w:t xml:space="preserve">de ces approches </w:t>
      </w:r>
      <w:r w:rsidR="0000689F" w:rsidRPr="0008040F">
        <w:rPr>
          <w:rFonts w:ascii="Arial" w:eastAsiaTheme="minorEastAsia" w:hAnsi="Arial" w:cs="Arial"/>
          <w:i/>
        </w:rPr>
        <w:t>médiates</w:t>
      </w:r>
      <w:r w:rsidR="0000689F" w:rsidRPr="0008040F">
        <w:rPr>
          <w:rFonts w:ascii="Arial" w:eastAsiaTheme="minorEastAsia" w:hAnsi="Arial" w:cs="Arial"/>
        </w:rPr>
        <w:t xml:space="preserve">, le droit au logement étant appréhendé sous l’angle </w:t>
      </w:r>
      <w:r w:rsidR="00F321C9" w:rsidRPr="0008040F">
        <w:rPr>
          <w:rFonts w:ascii="Arial" w:eastAsiaTheme="minorEastAsia" w:hAnsi="Arial" w:cs="Arial"/>
        </w:rPr>
        <w:t xml:space="preserve">qui </w:t>
      </w:r>
      <w:r w:rsidR="0000689F" w:rsidRPr="0008040F">
        <w:rPr>
          <w:rFonts w:ascii="Arial" w:eastAsiaTheme="minorEastAsia" w:hAnsi="Arial" w:cs="Arial"/>
        </w:rPr>
        <w:t>de l’interdiction des traitements inhumains et dégradants</w:t>
      </w:r>
      <w:r w:rsidR="00F321C9" w:rsidRPr="0008040F">
        <w:rPr>
          <w:rFonts w:ascii="Arial" w:eastAsiaTheme="minorEastAsia" w:hAnsi="Arial" w:cs="Arial"/>
        </w:rPr>
        <w:t xml:space="preserve"> (pour les sans-abri </w:t>
      </w:r>
      <w:r w:rsidR="001A70A4" w:rsidRPr="0008040F">
        <w:rPr>
          <w:rFonts w:ascii="Arial" w:eastAsiaTheme="minorEastAsia" w:hAnsi="Arial" w:cs="Arial"/>
        </w:rPr>
        <w:t>ou les demandeurs d’asile</w:t>
      </w:r>
      <w:r w:rsidR="0058661A" w:rsidRPr="0008040F">
        <w:rPr>
          <w:rStyle w:val="Appelnotedebasdep"/>
          <w:rFonts w:ascii="Arial" w:eastAsiaTheme="minorEastAsia" w:hAnsi="Arial" w:cs="Arial"/>
        </w:rPr>
        <w:footnoteReference w:id="18"/>
      </w:r>
      <w:r w:rsidR="001A70A4" w:rsidRPr="0008040F">
        <w:rPr>
          <w:rFonts w:ascii="Arial" w:eastAsiaTheme="minorEastAsia" w:hAnsi="Arial" w:cs="Arial"/>
        </w:rPr>
        <w:t xml:space="preserve"> </w:t>
      </w:r>
      <w:r w:rsidR="00F321C9" w:rsidRPr="0008040F">
        <w:rPr>
          <w:rFonts w:ascii="Arial" w:eastAsiaTheme="minorEastAsia" w:hAnsi="Arial" w:cs="Arial"/>
        </w:rPr>
        <w:t>par exemple), qui de la protection du domicile et de la vie privée et familiale, qui de l’interdiction de la discrimination, … tous attributs pleinement reconnus</w:t>
      </w:r>
      <w:r w:rsidR="009A6032" w:rsidRPr="0008040F">
        <w:rPr>
          <w:rFonts w:ascii="Arial" w:eastAsiaTheme="minorEastAsia" w:hAnsi="Arial" w:cs="Arial"/>
        </w:rPr>
        <w:t xml:space="preserve"> </w:t>
      </w:r>
      <w:proofErr w:type="spellStart"/>
      <w:r w:rsidR="009A6032" w:rsidRPr="0008040F">
        <w:rPr>
          <w:rFonts w:ascii="Arial" w:eastAsiaTheme="minorEastAsia" w:hAnsi="Arial" w:cs="Arial"/>
          <w:i/>
        </w:rPr>
        <w:t>expressis</w:t>
      </w:r>
      <w:proofErr w:type="spellEnd"/>
      <w:r w:rsidR="009A6032" w:rsidRPr="0008040F">
        <w:rPr>
          <w:rFonts w:ascii="Arial" w:eastAsiaTheme="minorEastAsia" w:hAnsi="Arial" w:cs="Arial"/>
          <w:i/>
        </w:rPr>
        <w:t xml:space="preserve"> </w:t>
      </w:r>
      <w:proofErr w:type="spellStart"/>
      <w:r w:rsidR="009A6032" w:rsidRPr="0008040F">
        <w:rPr>
          <w:rFonts w:ascii="Arial" w:eastAsiaTheme="minorEastAsia" w:hAnsi="Arial" w:cs="Arial"/>
          <w:i/>
        </w:rPr>
        <w:t>verbis</w:t>
      </w:r>
      <w:proofErr w:type="spellEnd"/>
      <w:r w:rsidR="009A6032" w:rsidRPr="0008040F">
        <w:rPr>
          <w:rFonts w:ascii="Arial" w:eastAsiaTheme="minorEastAsia" w:hAnsi="Arial" w:cs="Arial"/>
        </w:rPr>
        <w:t>,</w:t>
      </w:r>
      <w:r w:rsidR="009A6032" w:rsidRPr="0008040F">
        <w:rPr>
          <w:rFonts w:ascii="Arial" w:eastAsiaTheme="minorEastAsia" w:hAnsi="Arial" w:cs="Arial"/>
          <w:i/>
        </w:rPr>
        <w:t xml:space="preserve"> </w:t>
      </w:r>
      <w:r w:rsidR="009A6032" w:rsidRPr="0008040F">
        <w:rPr>
          <w:rFonts w:ascii="Arial" w:eastAsiaTheme="minorEastAsia" w:hAnsi="Arial" w:cs="Arial"/>
        </w:rPr>
        <w:t>eux,</w:t>
      </w:r>
      <w:r w:rsidR="00F321C9" w:rsidRPr="0008040F">
        <w:rPr>
          <w:rFonts w:ascii="Arial" w:eastAsiaTheme="minorEastAsia" w:hAnsi="Arial" w:cs="Arial"/>
        </w:rPr>
        <w:t xml:space="preserve"> par la Convention</w:t>
      </w:r>
      <w:r w:rsidR="004B2B86" w:rsidRPr="0008040F">
        <w:rPr>
          <w:rStyle w:val="Appelnotedebasdep"/>
          <w:rFonts w:ascii="Arial" w:eastAsiaTheme="minorEastAsia" w:hAnsi="Arial" w:cs="Arial"/>
        </w:rPr>
        <w:footnoteReference w:id="19"/>
      </w:r>
      <w:r w:rsidR="000B4C0D" w:rsidRPr="0008040F">
        <w:rPr>
          <w:rFonts w:ascii="Arial" w:eastAsiaTheme="minorEastAsia" w:hAnsi="Arial" w:cs="Arial"/>
        </w:rPr>
        <w:t>.</w:t>
      </w:r>
    </w:p>
    <w:p w:rsidR="00A51AE3" w:rsidRPr="0008040F" w:rsidRDefault="00A51AE3" w:rsidP="000210F0">
      <w:pPr>
        <w:spacing w:line="360" w:lineRule="auto"/>
        <w:jc w:val="both"/>
        <w:rPr>
          <w:rFonts w:ascii="Arial" w:hAnsi="Arial" w:cs="Arial"/>
        </w:rPr>
      </w:pPr>
    </w:p>
    <w:p w:rsidR="0010520F" w:rsidRPr="0008040F" w:rsidRDefault="0010520F" w:rsidP="004229B0">
      <w:pPr>
        <w:spacing w:line="360" w:lineRule="auto"/>
        <w:jc w:val="both"/>
        <w:rPr>
          <w:rFonts w:ascii="Arial" w:hAnsi="Arial" w:cs="Arial"/>
          <w:i/>
        </w:rPr>
      </w:pPr>
      <w:r w:rsidRPr="0008040F">
        <w:rPr>
          <w:rFonts w:ascii="Arial" w:hAnsi="Arial" w:cs="Arial"/>
          <w:i/>
        </w:rPr>
        <w:t xml:space="preserve">b) </w:t>
      </w:r>
      <w:r w:rsidR="00387500" w:rsidRPr="0008040F">
        <w:rPr>
          <w:rFonts w:ascii="Arial" w:hAnsi="Arial" w:cs="Arial"/>
          <w:i/>
        </w:rPr>
        <w:t>le droit à un bail social n’est pas un « bien »</w:t>
      </w:r>
    </w:p>
    <w:p w:rsidR="0010520F" w:rsidRPr="0008040F" w:rsidRDefault="0010520F" w:rsidP="004229B0">
      <w:pPr>
        <w:spacing w:line="360" w:lineRule="auto"/>
        <w:ind w:firstLine="567"/>
        <w:jc w:val="both"/>
        <w:rPr>
          <w:rFonts w:ascii="Arial" w:hAnsi="Arial" w:cs="Arial"/>
        </w:rPr>
      </w:pPr>
    </w:p>
    <w:p w:rsidR="009C15A6" w:rsidRPr="0008040F" w:rsidRDefault="00055921" w:rsidP="006069CA">
      <w:pPr>
        <w:spacing w:line="360" w:lineRule="auto"/>
        <w:ind w:firstLine="567"/>
        <w:jc w:val="both"/>
        <w:rPr>
          <w:rFonts w:ascii="Arial" w:hAnsi="Arial" w:cs="Arial"/>
        </w:rPr>
      </w:pPr>
      <w:r w:rsidRPr="0008040F">
        <w:rPr>
          <w:rFonts w:ascii="Arial" w:hAnsi="Arial" w:cs="Arial"/>
          <w:b/>
        </w:rPr>
        <w:lastRenderedPageBreak/>
        <w:t>7</w:t>
      </w:r>
      <w:r w:rsidR="00E44899" w:rsidRPr="0008040F">
        <w:rPr>
          <w:rFonts w:ascii="Arial" w:hAnsi="Arial" w:cs="Arial"/>
          <w:b/>
        </w:rPr>
        <w:t xml:space="preserve">. </w:t>
      </w:r>
      <w:r w:rsidR="00387500" w:rsidRPr="0008040F">
        <w:rPr>
          <w:rFonts w:ascii="Arial" w:hAnsi="Arial" w:cs="Arial"/>
        </w:rPr>
        <w:t xml:space="preserve">Il n’y a pas que le droit au procès équitable que la Convention européenne des droits de l’homme </w:t>
      </w:r>
      <w:r w:rsidR="009F5C5E" w:rsidRPr="0008040F">
        <w:rPr>
          <w:rFonts w:ascii="Arial" w:hAnsi="Arial" w:cs="Arial"/>
        </w:rPr>
        <w:t>sauvegarde ;</w:t>
      </w:r>
      <w:r w:rsidR="00387500" w:rsidRPr="0008040F">
        <w:rPr>
          <w:rFonts w:ascii="Arial" w:hAnsi="Arial" w:cs="Arial"/>
        </w:rPr>
        <w:t xml:space="preserve"> dans l’article premier de son premier protocole additionnel, elle </w:t>
      </w:r>
      <w:r w:rsidR="009F5C5E" w:rsidRPr="0008040F">
        <w:rPr>
          <w:rFonts w:ascii="Arial" w:hAnsi="Arial" w:cs="Arial"/>
        </w:rPr>
        <w:t>édicte</w:t>
      </w:r>
      <w:r w:rsidR="00387500" w:rsidRPr="0008040F">
        <w:rPr>
          <w:rFonts w:ascii="Arial" w:hAnsi="Arial" w:cs="Arial"/>
        </w:rPr>
        <w:t xml:space="preserve"> le droit au respect des « biens ».</w:t>
      </w:r>
      <w:r w:rsidR="00796599" w:rsidRPr="0008040F">
        <w:rPr>
          <w:rFonts w:ascii="Arial" w:hAnsi="Arial" w:cs="Arial"/>
        </w:rPr>
        <w:t xml:space="preserve"> Cette dernière notion est assurément l’une des plus extensives du texte et, au minimum, n’est nullement à réduire au droit de propriété</w:t>
      </w:r>
      <w:r w:rsidR="00D532BB" w:rsidRPr="0008040F">
        <w:rPr>
          <w:rStyle w:val="Appelnotedebasdep"/>
          <w:rFonts w:ascii="Arial" w:hAnsi="Arial" w:cs="Arial"/>
        </w:rPr>
        <w:footnoteReference w:id="20"/>
      </w:r>
      <w:r w:rsidR="00D532BB" w:rsidRPr="0008040F">
        <w:rPr>
          <w:rFonts w:ascii="Arial" w:hAnsi="Arial" w:cs="Arial"/>
        </w:rPr>
        <w:t xml:space="preserve">. Lui reconnaissant une portée </w:t>
      </w:r>
      <w:r w:rsidR="00796599" w:rsidRPr="0008040F">
        <w:rPr>
          <w:rFonts w:ascii="Arial" w:hAnsi="Arial" w:cs="Arial"/>
        </w:rPr>
        <w:t>« autonome »</w:t>
      </w:r>
      <w:r w:rsidR="00796599" w:rsidRPr="0008040F">
        <w:rPr>
          <w:rStyle w:val="Appelnotedebasdep"/>
          <w:rFonts w:ascii="Arial" w:hAnsi="Arial" w:cs="Arial"/>
        </w:rPr>
        <w:footnoteReference w:id="21"/>
      </w:r>
      <w:r w:rsidR="00796599" w:rsidRPr="0008040F">
        <w:rPr>
          <w:rFonts w:ascii="Arial" w:hAnsi="Arial" w:cs="Arial"/>
        </w:rPr>
        <w:t xml:space="preserve">, </w:t>
      </w:r>
      <w:r w:rsidR="00D532BB" w:rsidRPr="0008040F">
        <w:rPr>
          <w:rFonts w:ascii="Arial" w:hAnsi="Arial" w:cs="Arial"/>
        </w:rPr>
        <w:t xml:space="preserve">indépendante des catégories juridiques </w:t>
      </w:r>
      <w:r w:rsidR="009C15A6" w:rsidRPr="0008040F">
        <w:rPr>
          <w:rFonts w:ascii="Arial" w:hAnsi="Arial" w:cs="Arial"/>
        </w:rPr>
        <w:t>instaurées</w:t>
      </w:r>
      <w:r w:rsidR="00D532BB" w:rsidRPr="0008040F">
        <w:rPr>
          <w:rFonts w:ascii="Arial" w:hAnsi="Arial" w:cs="Arial"/>
        </w:rPr>
        <w:t xml:space="preserve"> en droit interne, </w:t>
      </w:r>
      <w:r w:rsidR="00796599" w:rsidRPr="0008040F">
        <w:rPr>
          <w:rFonts w:ascii="Arial" w:hAnsi="Arial" w:cs="Arial"/>
        </w:rPr>
        <w:t>la Cour</w:t>
      </w:r>
      <w:r w:rsidR="00D532BB" w:rsidRPr="0008040F">
        <w:rPr>
          <w:rFonts w:ascii="Arial" w:hAnsi="Arial" w:cs="Arial"/>
        </w:rPr>
        <w:t xml:space="preserve"> est allée jusqu’à y faire rentrer </w:t>
      </w:r>
      <w:r w:rsidR="00796599" w:rsidRPr="0008040F">
        <w:rPr>
          <w:rFonts w:ascii="Arial" w:hAnsi="Arial" w:cs="Arial"/>
        </w:rPr>
        <w:t>des "intérêts patrimoniaux"</w:t>
      </w:r>
      <w:r w:rsidR="00D33575" w:rsidRPr="0008040F">
        <w:rPr>
          <w:rStyle w:val="Appelnotedebasdep"/>
          <w:rFonts w:ascii="Arial" w:hAnsi="Arial" w:cs="Arial"/>
        </w:rPr>
        <w:footnoteReference w:id="22"/>
      </w:r>
      <w:r w:rsidR="006069CA" w:rsidRPr="0008040F">
        <w:rPr>
          <w:rFonts w:ascii="Arial" w:hAnsi="Arial" w:cs="Arial"/>
        </w:rPr>
        <w:t xml:space="preserve">. Loin d’être </w:t>
      </w:r>
      <w:r w:rsidR="00796599" w:rsidRPr="0008040F">
        <w:rPr>
          <w:rFonts w:ascii="Arial" w:hAnsi="Arial" w:cs="Arial"/>
        </w:rPr>
        <w:t xml:space="preserve">limité </w:t>
      </w:r>
      <w:r w:rsidR="006069CA" w:rsidRPr="0008040F">
        <w:rPr>
          <w:rFonts w:ascii="Arial" w:hAnsi="Arial" w:cs="Arial"/>
        </w:rPr>
        <w:t>à des</w:t>
      </w:r>
      <w:r w:rsidR="00796599" w:rsidRPr="0008040F">
        <w:rPr>
          <w:rFonts w:ascii="Arial" w:hAnsi="Arial" w:cs="Arial"/>
        </w:rPr>
        <w:t xml:space="preserve"> choses </w:t>
      </w:r>
      <w:r w:rsidR="006069CA" w:rsidRPr="0008040F">
        <w:rPr>
          <w:rFonts w:ascii="Arial" w:hAnsi="Arial" w:cs="Arial"/>
        </w:rPr>
        <w:t xml:space="preserve">corporelles, ce concept </w:t>
      </w:r>
      <w:r w:rsidR="00796599" w:rsidRPr="0008040F">
        <w:rPr>
          <w:rFonts w:ascii="Arial" w:hAnsi="Arial" w:cs="Arial"/>
        </w:rPr>
        <w:t xml:space="preserve">peut même s'étendre à une décision de justice accordant un bail social, comme l'a admis </w:t>
      </w:r>
      <w:r w:rsidR="002126BB" w:rsidRPr="0008040F">
        <w:rPr>
          <w:rFonts w:ascii="Arial" w:hAnsi="Arial" w:cs="Arial"/>
        </w:rPr>
        <w:t>Strasbourg</w:t>
      </w:r>
      <w:r w:rsidR="00796599" w:rsidRPr="0008040F">
        <w:rPr>
          <w:rFonts w:ascii="Arial" w:hAnsi="Arial" w:cs="Arial"/>
        </w:rPr>
        <w:t xml:space="preserve"> dans </w:t>
      </w:r>
      <w:r w:rsidR="009C15A6" w:rsidRPr="0008040F">
        <w:rPr>
          <w:rFonts w:ascii="Arial" w:hAnsi="Arial" w:cs="Arial"/>
        </w:rPr>
        <w:t>ses</w:t>
      </w:r>
      <w:r w:rsidR="00796599" w:rsidRPr="0008040F">
        <w:rPr>
          <w:rFonts w:ascii="Arial" w:hAnsi="Arial" w:cs="Arial"/>
        </w:rPr>
        <w:t xml:space="preserve"> </w:t>
      </w:r>
      <w:r w:rsidR="009C15A6" w:rsidRPr="0008040F">
        <w:rPr>
          <w:rFonts w:ascii="Arial" w:hAnsi="Arial" w:cs="Arial"/>
        </w:rPr>
        <w:t xml:space="preserve">célèbres </w:t>
      </w:r>
      <w:r w:rsidR="00796599" w:rsidRPr="0008040F">
        <w:rPr>
          <w:rFonts w:ascii="Arial" w:hAnsi="Arial" w:cs="Arial"/>
        </w:rPr>
        <w:t>arrêt</w:t>
      </w:r>
      <w:r w:rsidR="003D0D4E" w:rsidRPr="0008040F">
        <w:rPr>
          <w:rFonts w:ascii="Arial" w:hAnsi="Arial" w:cs="Arial"/>
        </w:rPr>
        <w:t>s</w:t>
      </w:r>
      <w:r w:rsidR="00796599" w:rsidRPr="0008040F">
        <w:rPr>
          <w:rFonts w:ascii="Arial" w:hAnsi="Arial" w:cs="Arial"/>
        </w:rPr>
        <w:t xml:space="preserve"> </w:t>
      </w:r>
      <w:proofErr w:type="spellStart"/>
      <w:r w:rsidR="00796599" w:rsidRPr="0008040F">
        <w:rPr>
          <w:rFonts w:ascii="Arial" w:hAnsi="Arial" w:cs="Arial"/>
          <w:i/>
        </w:rPr>
        <w:t>Teteriny</w:t>
      </w:r>
      <w:proofErr w:type="spellEnd"/>
      <w:r w:rsidR="00796599" w:rsidRPr="0008040F">
        <w:rPr>
          <w:rFonts w:ascii="Arial" w:hAnsi="Arial" w:cs="Arial"/>
          <w:i/>
        </w:rPr>
        <w:t xml:space="preserve"> c. Russie </w:t>
      </w:r>
      <w:r w:rsidR="00796599" w:rsidRPr="0008040F">
        <w:rPr>
          <w:rFonts w:ascii="Arial" w:hAnsi="Arial" w:cs="Arial"/>
        </w:rPr>
        <w:t>du 30 juin 2005</w:t>
      </w:r>
      <w:r w:rsidR="003D0D4E" w:rsidRPr="0008040F">
        <w:rPr>
          <w:rFonts w:ascii="Arial" w:hAnsi="Arial" w:cs="Arial"/>
        </w:rPr>
        <w:t xml:space="preserve"> et </w:t>
      </w:r>
      <w:proofErr w:type="spellStart"/>
      <w:r w:rsidR="009C15A6" w:rsidRPr="0008040F">
        <w:rPr>
          <w:rFonts w:ascii="Arial" w:hAnsi="Arial" w:cs="Arial"/>
          <w:i/>
        </w:rPr>
        <w:t>Olaru</w:t>
      </w:r>
      <w:proofErr w:type="spellEnd"/>
      <w:r w:rsidR="009C15A6" w:rsidRPr="0008040F">
        <w:rPr>
          <w:rFonts w:ascii="Arial" w:hAnsi="Arial" w:cs="Arial"/>
          <w:i/>
        </w:rPr>
        <w:t xml:space="preserve"> et </w:t>
      </w:r>
      <w:r w:rsidR="003D0D4E" w:rsidRPr="0008040F">
        <w:rPr>
          <w:rFonts w:ascii="Arial" w:hAnsi="Arial" w:cs="Arial"/>
          <w:i/>
        </w:rPr>
        <w:t>autres c. Molda</w:t>
      </w:r>
      <w:r w:rsidR="009C15A6" w:rsidRPr="0008040F">
        <w:rPr>
          <w:rFonts w:ascii="Arial" w:hAnsi="Arial" w:cs="Arial"/>
          <w:i/>
        </w:rPr>
        <w:t>v</w:t>
      </w:r>
      <w:r w:rsidR="003D0D4E" w:rsidRPr="0008040F">
        <w:rPr>
          <w:rFonts w:ascii="Arial" w:hAnsi="Arial" w:cs="Arial"/>
          <w:i/>
        </w:rPr>
        <w:t>ie</w:t>
      </w:r>
      <w:r w:rsidR="009C15A6" w:rsidRPr="0008040F">
        <w:rPr>
          <w:rFonts w:ascii="Arial" w:hAnsi="Arial" w:cs="Arial"/>
        </w:rPr>
        <w:t xml:space="preserve"> du 28 juillet 2009</w:t>
      </w:r>
      <w:r w:rsidR="003D0D4E" w:rsidRPr="0008040F">
        <w:rPr>
          <w:rStyle w:val="Appelnotedebasdep"/>
          <w:rFonts w:ascii="Arial" w:hAnsi="Arial" w:cs="Arial"/>
        </w:rPr>
        <w:footnoteReference w:id="23"/>
      </w:r>
      <w:r w:rsidR="00796599" w:rsidRPr="0008040F">
        <w:rPr>
          <w:rFonts w:ascii="Arial" w:hAnsi="Arial" w:cs="Arial"/>
        </w:rPr>
        <w:t xml:space="preserve">. </w:t>
      </w:r>
    </w:p>
    <w:p w:rsidR="00796599" w:rsidRPr="0008040F" w:rsidRDefault="00796599" w:rsidP="006069CA">
      <w:pPr>
        <w:spacing w:line="360" w:lineRule="auto"/>
        <w:ind w:firstLine="567"/>
        <w:jc w:val="both"/>
        <w:rPr>
          <w:rFonts w:ascii="Arial" w:hAnsi="Arial" w:cs="Arial"/>
        </w:rPr>
      </w:pPr>
      <w:r w:rsidRPr="0008040F">
        <w:rPr>
          <w:rFonts w:ascii="Arial" w:hAnsi="Arial" w:cs="Arial"/>
        </w:rPr>
        <w:t>Normalement, le droit à de tels bénéfices sociaux n’est nullement inclus parmi les droits et les libert</w:t>
      </w:r>
      <w:r w:rsidR="0058661A" w:rsidRPr="0008040F">
        <w:rPr>
          <w:rFonts w:ascii="Arial" w:hAnsi="Arial" w:cs="Arial"/>
        </w:rPr>
        <w:t>és garantis par la Convention. Malgré tout, u</w:t>
      </w:r>
      <w:r w:rsidRPr="0008040F">
        <w:rPr>
          <w:rFonts w:ascii="Arial" w:hAnsi="Arial" w:cs="Arial"/>
        </w:rPr>
        <w:t>ne revendication basée sur une espérance légitime d’obtenir la jouissance effective d’un bien particulier — dont on n'est pas</w:t>
      </w:r>
      <w:r w:rsidR="009C15A6" w:rsidRPr="0008040F">
        <w:rPr>
          <w:rFonts w:ascii="Arial" w:hAnsi="Arial" w:cs="Arial"/>
        </w:rPr>
        <w:t xml:space="preserve"> propriétaire — peut revêtir la forme d’un bien si elle est « suffisamment établie pour être exigible »</w:t>
      </w:r>
      <w:r w:rsidR="009C15A6" w:rsidRPr="0008040F">
        <w:rPr>
          <w:rStyle w:val="Appelnotedebasdep"/>
          <w:rFonts w:ascii="Arial" w:hAnsi="Arial" w:cs="Arial"/>
        </w:rPr>
        <w:footnoteReference w:id="24"/>
      </w:r>
      <w:r w:rsidRPr="0008040F">
        <w:rPr>
          <w:rFonts w:ascii="Arial" w:hAnsi="Arial" w:cs="Arial"/>
        </w:rPr>
        <w:t xml:space="preserve">. Tel fut le cas dans l'arrêt </w:t>
      </w:r>
      <w:proofErr w:type="spellStart"/>
      <w:r w:rsidRPr="0008040F">
        <w:rPr>
          <w:rFonts w:ascii="Arial" w:hAnsi="Arial" w:cs="Arial"/>
          <w:i/>
        </w:rPr>
        <w:t>Teteriny</w:t>
      </w:r>
      <w:proofErr w:type="spellEnd"/>
      <w:r w:rsidR="009C15A6" w:rsidRPr="0008040F">
        <w:rPr>
          <w:rFonts w:ascii="Arial" w:hAnsi="Arial" w:cs="Arial"/>
          <w:i/>
        </w:rPr>
        <w:t xml:space="preserve"> </w:t>
      </w:r>
      <w:r w:rsidR="009C15A6" w:rsidRPr="0008040F">
        <w:rPr>
          <w:rFonts w:ascii="Arial" w:hAnsi="Arial" w:cs="Arial"/>
        </w:rPr>
        <w:t>par exemple</w:t>
      </w:r>
      <w:r w:rsidRPr="0008040F">
        <w:rPr>
          <w:rFonts w:ascii="Arial" w:hAnsi="Arial" w:cs="Arial"/>
        </w:rPr>
        <w:t xml:space="preserve">. De fait, l'impossibilité pendant plus de 10 ans pour le requérant d’obtenir l’exécution d'une décision de justice lui accordant un appartement social constitue une interférence </w:t>
      </w:r>
      <w:r w:rsidR="0058661A" w:rsidRPr="0008040F">
        <w:rPr>
          <w:rFonts w:ascii="Arial" w:hAnsi="Arial" w:cs="Arial"/>
        </w:rPr>
        <w:t>dans</w:t>
      </w:r>
      <w:r w:rsidRPr="0008040F">
        <w:rPr>
          <w:rFonts w:ascii="Arial" w:hAnsi="Arial" w:cs="Arial"/>
        </w:rPr>
        <w:t xml:space="preserve"> son droit à la jouissan</w:t>
      </w:r>
      <w:r w:rsidR="0058661A" w:rsidRPr="0008040F">
        <w:rPr>
          <w:rFonts w:ascii="Arial" w:hAnsi="Arial" w:cs="Arial"/>
        </w:rPr>
        <w:t>ce paisible de ses biens pour la</w:t>
      </w:r>
      <w:r w:rsidRPr="0008040F">
        <w:rPr>
          <w:rFonts w:ascii="Arial" w:hAnsi="Arial" w:cs="Arial"/>
        </w:rPr>
        <w:t>quel</w:t>
      </w:r>
      <w:r w:rsidR="0058661A" w:rsidRPr="0008040F">
        <w:rPr>
          <w:rFonts w:ascii="Arial" w:hAnsi="Arial" w:cs="Arial"/>
        </w:rPr>
        <w:t>le</w:t>
      </w:r>
      <w:r w:rsidRPr="0008040F">
        <w:rPr>
          <w:rFonts w:ascii="Arial" w:hAnsi="Arial" w:cs="Arial"/>
        </w:rPr>
        <w:t xml:space="preserve"> le gouvernement n’a pas avancé d’explication plausible</w:t>
      </w:r>
      <w:r w:rsidRPr="0008040F">
        <w:rPr>
          <w:rStyle w:val="Appelnotedebasdep"/>
          <w:rFonts w:ascii="Arial" w:hAnsi="Arial" w:cs="Arial"/>
        </w:rPr>
        <w:footnoteReference w:id="25"/>
      </w:r>
      <w:r w:rsidRPr="0008040F">
        <w:rPr>
          <w:rFonts w:ascii="Arial" w:hAnsi="Arial" w:cs="Arial"/>
        </w:rPr>
        <w:t>.</w:t>
      </w:r>
    </w:p>
    <w:p w:rsidR="006069CA" w:rsidRPr="0008040F" w:rsidRDefault="006069CA" w:rsidP="006069CA">
      <w:pPr>
        <w:spacing w:line="360" w:lineRule="auto"/>
        <w:ind w:firstLine="567"/>
        <w:jc w:val="both"/>
        <w:rPr>
          <w:rFonts w:ascii="Arial" w:hAnsi="Arial" w:cs="Arial"/>
        </w:rPr>
      </w:pPr>
    </w:p>
    <w:p w:rsidR="00527872" w:rsidRPr="0008040F" w:rsidRDefault="00055921" w:rsidP="0058661A">
      <w:pPr>
        <w:spacing w:line="360" w:lineRule="auto"/>
        <w:ind w:firstLine="567"/>
        <w:jc w:val="both"/>
        <w:rPr>
          <w:rFonts w:ascii="Arial" w:hAnsi="Arial" w:cs="Arial"/>
        </w:rPr>
      </w:pPr>
      <w:r w:rsidRPr="0008040F">
        <w:rPr>
          <w:rFonts w:ascii="Arial" w:hAnsi="Arial" w:cs="Arial"/>
          <w:b/>
        </w:rPr>
        <w:t>8</w:t>
      </w:r>
      <w:r w:rsidR="006069CA" w:rsidRPr="0008040F">
        <w:rPr>
          <w:rFonts w:ascii="Arial" w:hAnsi="Arial" w:cs="Arial"/>
          <w:b/>
        </w:rPr>
        <w:t xml:space="preserve">. </w:t>
      </w:r>
      <w:r w:rsidR="006069CA" w:rsidRPr="0008040F">
        <w:rPr>
          <w:rFonts w:ascii="Arial" w:hAnsi="Arial" w:cs="Arial"/>
        </w:rPr>
        <w:t xml:space="preserve">Au vu de cette jurisprudence, on s’attendait à voir la Cour </w:t>
      </w:r>
      <w:r w:rsidR="003D0D4E" w:rsidRPr="0008040F">
        <w:rPr>
          <w:rFonts w:ascii="Arial" w:hAnsi="Arial" w:cs="Arial"/>
        </w:rPr>
        <w:t xml:space="preserve">pareillement </w:t>
      </w:r>
      <w:r w:rsidR="006069CA" w:rsidRPr="0008040F">
        <w:rPr>
          <w:rFonts w:ascii="Arial" w:hAnsi="Arial" w:cs="Arial"/>
        </w:rPr>
        <w:t xml:space="preserve">acter </w:t>
      </w:r>
      <w:r w:rsidR="007973BC" w:rsidRPr="0008040F">
        <w:rPr>
          <w:rFonts w:ascii="Arial" w:hAnsi="Arial" w:cs="Arial"/>
        </w:rPr>
        <w:t>dans la présente affaire</w:t>
      </w:r>
      <w:r w:rsidR="006069CA" w:rsidRPr="0008040F">
        <w:rPr>
          <w:rFonts w:ascii="Arial" w:hAnsi="Arial" w:cs="Arial"/>
        </w:rPr>
        <w:t xml:space="preserve"> une violation de l’article premier du protocole additionnel n°1. Il n’en a rien été. La chose ne laisse </w:t>
      </w:r>
      <w:r w:rsidR="007973BC" w:rsidRPr="0008040F">
        <w:rPr>
          <w:rFonts w:ascii="Arial" w:hAnsi="Arial" w:cs="Arial"/>
        </w:rPr>
        <w:t xml:space="preserve">cependant </w:t>
      </w:r>
      <w:r w:rsidR="009C15A6" w:rsidRPr="0008040F">
        <w:rPr>
          <w:rFonts w:ascii="Arial" w:hAnsi="Arial" w:cs="Arial"/>
        </w:rPr>
        <w:t>pas d’étonner</w:t>
      </w:r>
      <w:r w:rsidR="006069CA" w:rsidRPr="0008040F">
        <w:rPr>
          <w:rFonts w:ascii="Arial" w:hAnsi="Arial" w:cs="Arial"/>
        </w:rPr>
        <w:t xml:space="preserve">. </w:t>
      </w:r>
      <w:r w:rsidR="009C15A6" w:rsidRPr="0008040F">
        <w:rPr>
          <w:rFonts w:ascii="Arial" w:hAnsi="Arial" w:cs="Arial"/>
        </w:rPr>
        <w:t>C’est que</w:t>
      </w:r>
      <w:r w:rsidR="007973BC" w:rsidRPr="0008040F">
        <w:rPr>
          <w:rFonts w:ascii="Arial" w:hAnsi="Arial" w:cs="Arial"/>
        </w:rPr>
        <w:t xml:space="preserve"> les circonstances d’espèce ne sont guère éloignées </w:t>
      </w:r>
      <w:r w:rsidR="005D2035" w:rsidRPr="0008040F">
        <w:rPr>
          <w:rFonts w:ascii="Arial" w:hAnsi="Arial" w:cs="Arial"/>
        </w:rPr>
        <w:t xml:space="preserve">ici de l’arrêt </w:t>
      </w:r>
      <w:proofErr w:type="spellStart"/>
      <w:r w:rsidR="005D2035" w:rsidRPr="0008040F">
        <w:rPr>
          <w:rFonts w:ascii="Arial" w:hAnsi="Arial" w:cs="Arial"/>
          <w:i/>
        </w:rPr>
        <w:t>Teteriny</w:t>
      </w:r>
      <w:proofErr w:type="spellEnd"/>
      <w:r w:rsidR="005D2035" w:rsidRPr="0008040F">
        <w:rPr>
          <w:rFonts w:ascii="Arial" w:hAnsi="Arial" w:cs="Arial"/>
        </w:rPr>
        <w:t xml:space="preserve">. Certes, le « bail social » </w:t>
      </w:r>
      <w:r w:rsidR="00527872" w:rsidRPr="0008040F">
        <w:rPr>
          <w:rFonts w:ascii="Arial" w:hAnsi="Arial" w:cs="Arial"/>
        </w:rPr>
        <w:t xml:space="preserve">en vigueur à l’époque en Russie </w:t>
      </w:r>
      <w:r w:rsidR="005D2035" w:rsidRPr="0008040F">
        <w:rPr>
          <w:rFonts w:ascii="Arial" w:hAnsi="Arial" w:cs="Arial"/>
        </w:rPr>
        <w:t xml:space="preserve">permettait </w:t>
      </w:r>
      <w:r w:rsidR="00527872" w:rsidRPr="0008040F">
        <w:rPr>
          <w:rFonts w:ascii="Arial" w:hAnsi="Arial" w:cs="Arial"/>
        </w:rPr>
        <w:t>à l’intéressé</w:t>
      </w:r>
      <w:r w:rsidR="005D2035" w:rsidRPr="0008040F">
        <w:rPr>
          <w:rFonts w:ascii="Arial" w:hAnsi="Arial" w:cs="Arial"/>
        </w:rPr>
        <w:t xml:space="preserve"> d’entretenir l’espoir de faire, à terme, acquisition de la maison</w:t>
      </w:r>
      <w:r w:rsidR="00592C12" w:rsidRPr="0008040F">
        <w:rPr>
          <w:rFonts w:ascii="Arial" w:hAnsi="Arial" w:cs="Arial"/>
        </w:rPr>
        <w:t xml:space="preserve"> (alors que cet aboutissement est nettement plus hypothétique dans le chef du locataire H.L.M.</w:t>
      </w:r>
      <w:r w:rsidR="0058661A" w:rsidRPr="0008040F">
        <w:rPr>
          <w:rFonts w:ascii="Arial" w:hAnsi="Arial" w:cs="Arial"/>
        </w:rPr>
        <w:t xml:space="preserve"> en </w:t>
      </w:r>
      <w:r w:rsidR="00086B99" w:rsidRPr="0008040F">
        <w:rPr>
          <w:rFonts w:ascii="Arial" w:hAnsi="Arial" w:cs="Arial"/>
        </w:rPr>
        <w:t>France, ne serait-ce que parce que l’aliénation est soumise à autorisations diverses</w:t>
      </w:r>
      <w:r w:rsidR="005E37DE" w:rsidRPr="0008040F">
        <w:rPr>
          <w:rStyle w:val="Appelnotedebasdep"/>
          <w:rFonts w:ascii="Arial" w:hAnsi="Arial" w:cs="Arial"/>
        </w:rPr>
        <w:footnoteReference w:id="26"/>
      </w:r>
      <w:r w:rsidR="00592C12" w:rsidRPr="0008040F">
        <w:rPr>
          <w:rFonts w:ascii="Arial" w:hAnsi="Arial" w:cs="Arial"/>
        </w:rPr>
        <w:t>). Il n’empêc</w:t>
      </w:r>
      <w:r w:rsidR="0058661A" w:rsidRPr="0008040F">
        <w:rPr>
          <w:rFonts w:ascii="Arial" w:hAnsi="Arial" w:cs="Arial"/>
        </w:rPr>
        <w:t>he, la Cour a refusé elle-même</w:t>
      </w:r>
      <w:r w:rsidR="00592C12" w:rsidRPr="0008040F">
        <w:rPr>
          <w:rFonts w:ascii="Arial" w:hAnsi="Arial" w:cs="Arial"/>
        </w:rPr>
        <w:t xml:space="preserve"> d’enfermer le droit au respect des biens dans le droit de propriété</w:t>
      </w:r>
      <w:r w:rsidR="0058661A" w:rsidRPr="0008040F">
        <w:rPr>
          <w:rStyle w:val="Appelnotedebasdep"/>
          <w:rFonts w:ascii="Arial" w:hAnsi="Arial" w:cs="Arial"/>
        </w:rPr>
        <w:footnoteReference w:id="27"/>
      </w:r>
      <w:r w:rsidR="00592C12" w:rsidRPr="0008040F">
        <w:rPr>
          <w:rFonts w:ascii="Arial" w:hAnsi="Arial" w:cs="Arial"/>
        </w:rPr>
        <w:t xml:space="preserve">. </w:t>
      </w:r>
    </w:p>
    <w:p w:rsidR="006069CA" w:rsidRPr="0008040F" w:rsidRDefault="00527872" w:rsidP="001C12FD">
      <w:pPr>
        <w:spacing w:line="360" w:lineRule="auto"/>
        <w:ind w:firstLine="567"/>
        <w:jc w:val="both"/>
        <w:rPr>
          <w:rFonts w:ascii="Arial" w:hAnsi="Arial" w:cs="Arial"/>
        </w:rPr>
      </w:pPr>
      <w:r w:rsidRPr="0008040F">
        <w:rPr>
          <w:rFonts w:ascii="Arial" w:hAnsi="Arial" w:cs="Arial"/>
        </w:rPr>
        <w:t>P</w:t>
      </w:r>
      <w:r w:rsidR="00592C12" w:rsidRPr="0008040F">
        <w:rPr>
          <w:rFonts w:ascii="Arial" w:hAnsi="Arial" w:cs="Arial"/>
        </w:rPr>
        <w:t>ar ailleurs, l’imposition parallèle d’une astreinte</w:t>
      </w:r>
      <w:r w:rsidR="001C12FD" w:rsidRPr="0008040F">
        <w:rPr>
          <w:rFonts w:ascii="Arial" w:hAnsi="Arial" w:cs="Arial"/>
        </w:rPr>
        <w:t xml:space="preserve"> </w:t>
      </w:r>
      <w:r w:rsidR="00592C12" w:rsidRPr="0008040F">
        <w:rPr>
          <w:rFonts w:ascii="Arial" w:hAnsi="Arial" w:cs="Arial"/>
        </w:rPr>
        <w:t xml:space="preserve">renforce encore </w:t>
      </w:r>
      <w:r w:rsidR="001C12FD" w:rsidRPr="0008040F">
        <w:rPr>
          <w:rFonts w:ascii="Arial" w:hAnsi="Arial" w:cs="Arial"/>
        </w:rPr>
        <w:t xml:space="preserve">à notre sens </w:t>
      </w:r>
      <w:r w:rsidR="00592C12" w:rsidRPr="0008040F">
        <w:rPr>
          <w:rFonts w:ascii="Arial" w:hAnsi="Arial" w:cs="Arial"/>
        </w:rPr>
        <w:t>le caractère « exigible »</w:t>
      </w:r>
      <w:r w:rsidRPr="0008040F">
        <w:rPr>
          <w:rFonts w:ascii="Arial" w:hAnsi="Arial" w:cs="Arial"/>
        </w:rPr>
        <w:t xml:space="preserve"> de la créance de Mme </w:t>
      </w:r>
      <w:proofErr w:type="spellStart"/>
      <w:r w:rsidRPr="0008040F">
        <w:rPr>
          <w:rFonts w:ascii="Arial" w:hAnsi="Arial" w:cs="Arial"/>
        </w:rPr>
        <w:t>Tchokontio</w:t>
      </w:r>
      <w:proofErr w:type="spellEnd"/>
      <w:r w:rsidRPr="0008040F">
        <w:rPr>
          <w:rFonts w:ascii="Arial" w:hAnsi="Arial" w:cs="Arial"/>
        </w:rPr>
        <w:t xml:space="preserve"> </w:t>
      </w:r>
      <w:proofErr w:type="spellStart"/>
      <w:r w:rsidRPr="0008040F">
        <w:rPr>
          <w:rFonts w:ascii="Arial" w:hAnsi="Arial" w:cs="Arial"/>
        </w:rPr>
        <w:t>Happi</w:t>
      </w:r>
      <w:proofErr w:type="spellEnd"/>
      <w:r w:rsidR="00A24FAC" w:rsidRPr="0008040F">
        <w:rPr>
          <w:rFonts w:ascii="Arial" w:hAnsi="Arial" w:cs="Arial"/>
        </w:rPr>
        <w:t>. N</w:t>
      </w:r>
      <w:r w:rsidRPr="0008040F">
        <w:rPr>
          <w:rFonts w:ascii="Arial" w:hAnsi="Arial" w:cs="Arial"/>
        </w:rPr>
        <w:t>e dit-on pas de cette astreinte précisément qu’elle cultive une fonction bien davantage comminatoire (elle force l’Éta</w:t>
      </w:r>
      <w:r w:rsidR="00142104" w:rsidRPr="0008040F">
        <w:rPr>
          <w:rFonts w:ascii="Arial" w:hAnsi="Arial" w:cs="Arial"/>
        </w:rPr>
        <w:t xml:space="preserve">t à </w:t>
      </w:r>
      <w:r w:rsidR="00A24FAC" w:rsidRPr="0008040F">
        <w:rPr>
          <w:rFonts w:ascii="Arial" w:hAnsi="Arial" w:cs="Arial"/>
        </w:rPr>
        <w:t>faire diligence</w:t>
      </w:r>
      <w:r w:rsidR="00142104" w:rsidRPr="0008040F">
        <w:rPr>
          <w:rFonts w:ascii="Arial" w:hAnsi="Arial" w:cs="Arial"/>
        </w:rPr>
        <w:t>) qu’indemnitaire</w:t>
      </w:r>
      <w:r w:rsidR="00142104" w:rsidRPr="0008040F">
        <w:rPr>
          <w:rStyle w:val="Appelnotedebasdep"/>
          <w:rFonts w:ascii="Arial" w:hAnsi="Arial" w:cs="Arial"/>
        </w:rPr>
        <w:footnoteReference w:id="28"/>
      </w:r>
      <w:r w:rsidR="00142104" w:rsidRPr="0008040F">
        <w:rPr>
          <w:rFonts w:ascii="Arial" w:hAnsi="Arial" w:cs="Arial"/>
        </w:rPr>
        <w:t> ?</w:t>
      </w:r>
      <w:r w:rsidR="00A24FAC" w:rsidRPr="0008040F">
        <w:rPr>
          <w:rFonts w:ascii="Arial" w:hAnsi="Arial" w:cs="Arial"/>
        </w:rPr>
        <w:t xml:space="preserve"> Et la Cour ne soutient-elle pas elle-même ici que le « seul objet » de ladite astreinte est </w:t>
      </w:r>
      <w:r w:rsidR="0017580C" w:rsidRPr="0008040F">
        <w:rPr>
          <w:rFonts w:ascii="Arial" w:hAnsi="Arial" w:cs="Arial"/>
        </w:rPr>
        <w:t>« </w:t>
      </w:r>
      <w:r w:rsidR="00A24FAC" w:rsidRPr="0008040F">
        <w:rPr>
          <w:rFonts w:ascii="Arial" w:hAnsi="Arial" w:cs="Arial"/>
        </w:rPr>
        <w:t>d’inciter l’État à exécu</w:t>
      </w:r>
      <w:r w:rsidR="00F135D1" w:rsidRPr="0008040F">
        <w:rPr>
          <w:rFonts w:ascii="Arial" w:hAnsi="Arial" w:cs="Arial"/>
        </w:rPr>
        <w:t>ter l’injonction de relogement »</w:t>
      </w:r>
      <w:r w:rsidR="00A24FAC" w:rsidRPr="0008040F">
        <w:rPr>
          <w:rFonts w:ascii="Arial" w:hAnsi="Arial" w:cs="Arial"/>
        </w:rPr>
        <w:t> ?</w:t>
      </w:r>
      <w:r w:rsidR="0017580C" w:rsidRPr="0008040F">
        <w:rPr>
          <w:rFonts w:ascii="Arial" w:hAnsi="Arial" w:cs="Arial"/>
        </w:rPr>
        <w:t xml:space="preserve"> À titre de comparaison, il n’était pas question d’astreinte dans l’affaire </w:t>
      </w:r>
      <w:proofErr w:type="spellStart"/>
      <w:r w:rsidR="0017580C" w:rsidRPr="0008040F">
        <w:rPr>
          <w:rFonts w:ascii="Arial" w:hAnsi="Arial" w:cs="Arial"/>
          <w:i/>
        </w:rPr>
        <w:t>Teteriny</w:t>
      </w:r>
      <w:proofErr w:type="spellEnd"/>
      <w:r w:rsidR="0017580C" w:rsidRPr="0008040F">
        <w:rPr>
          <w:rFonts w:ascii="Arial" w:hAnsi="Arial" w:cs="Arial"/>
          <w:i/>
        </w:rPr>
        <w:t>…</w:t>
      </w:r>
    </w:p>
    <w:p w:rsidR="00A10AE7" w:rsidRPr="0008040F" w:rsidRDefault="00A10AE7" w:rsidP="0008040F">
      <w:pPr>
        <w:spacing w:line="360" w:lineRule="auto"/>
        <w:jc w:val="both"/>
        <w:rPr>
          <w:rFonts w:ascii="Arial" w:hAnsi="Arial" w:cs="Arial"/>
        </w:rPr>
      </w:pPr>
    </w:p>
    <w:p w:rsidR="00A10AE7" w:rsidRPr="0008040F" w:rsidRDefault="00A10AE7" w:rsidP="006069CA">
      <w:pPr>
        <w:spacing w:line="360" w:lineRule="auto"/>
        <w:ind w:firstLine="567"/>
        <w:jc w:val="both"/>
        <w:rPr>
          <w:rFonts w:ascii="Arial" w:hAnsi="Arial" w:cs="Arial"/>
        </w:rPr>
      </w:pPr>
    </w:p>
    <w:p w:rsidR="002D22FB" w:rsidRPr="0008040F" w:rsidRDefault="002D22FB" w:rsidP="002D22FB">
      <w:pPr>
        <w:spacing w:line="360" w:lineRule="auto"/>
        <w:jc w:val="both"/>
        <w:rPr>
          <w:rFonts w:ascii="Arial" w:hAnsi="Arial" w:cs="Arial"/>
          <w:u w:val="single"/>
        </w:rPr>
      </w:pPr>
      <w:r w:rsidRPr="0008040F">
        <w:rPr>
          <w:rFonts w:ascii="Arial" w:hAnsi="Arial" w:cs="Arial"/>
          <w:u w:val="single"/>
        </w:rPr>
        <w:t>Conclusion</w:t>
      </w:r>
    </w:p>
    <w:p w:rsidR="002D22FB" w:rsidRPr="0008040F" w:rsidRDefault="002D22FB" w:rsidP="006069CA">
      <w:pPr>
        <w:spacing w:line="360" w:lineRule="auto"/>
        <w:ind w:firstLine="567"/>
        <w:jc w:val="both"/>
        <w:rPr>
          <w:rFonts w:ascii="Arial" w:hAnsi="Arial" w:cs="Arial"/>
        </w:rPr>
      </w:pPr>
    </w:p>
    <w:p w:rsidR="00B92DDA" w:rsidRPr="0008040F" w:rsidRDefault="00055921" w:rsidP="006069CA">
      <w:pPr>
        <w:spacing w:line="360" w:lineRule="auto"/>
        <w:ind w:firstLine="567"/>
        <w:jc w:val="both"/>
        <w:rPr>
          <w:rFonts w:ascii="Arial" w:hAnsi="Arial" w:cs="Arial"/>
        </w:rPr>
      </w:pPr>
      <w:r w:rsidRPr="0008040F">
        <w:rPr>
          <w:rFonts w:ascii="Arial" w:hAnsi="Arial" w:cs="Arial"/>
          <w:b/>
        </w:rPr>
        <w:t>9</w:t>
      </w:r>
      <w:r w:rsidR="00B92DDA" w:rsidRPr="0008040F">
        <w:rPr>
          <w:rFonts w:ascii="Arial" w:hAnsi="Arial" w:cs="Arial"/>
          <w:b/>
        </w:rPr>
        <w:t xml:space="preserve">. </w:t>
      </w:r>
      <w:r w:rsidR="001C4404" w:rsidRPr="0008040F">
        <w:rPr>
          <w:rFonts w:ascii="Arial" w:hAnsi="Arial" w:cs="Arial"/>
        </w:rPr>
        <w:t xml:space="preserve">Que penser, au final, de l’arrêt de la Cour européenne des droits de l’homme du 9 avril 2015 ? En refusant </w:t>
      </w:r>
      <w:r w:rsidR="009D4CA0" w:rsidRPr="0008040F">
        <w:rPr>
          <w:rFonts w:ascii="Arial" w:hAnsi="Arial" w:cs="Arial"/>
        </w:rPr>
        <w:t>(</w:t>
      </w:r>
      <w:r w:rsidR="00430EE1" w:rsidRPr="0008040F">
        <w:rPr>
          <w:rFonts w:ascii="Arial" w:hAnsi="Arial" w:cs="Arial"/>
        </w:rPr>
        <w:t>pour faire bref</w:t>
      </w:r>
      <w:r w:rsidR="009D4CA0" w:rsidRPr="0008040F">
        <w:rPr>
          <w:rFonts w:ascii="Arial" w:hAnsi="Arial" w:cs="Arial"/>
        </w:rPr>
        <w:t xml:space="preserve">) </w:t>
      </w:r>
      <w:r w:rsidR="00430EE1" w:rsidRPr="0008040F">
        <w:rPr>
          <w:rFonts w:ascii="Arial" w:hAnsi="Arial" w:cs="Arial"/>
        </w:rPr>
        <w:t xml:space="preserve">que </w:t>
      </w:r>
      <w:r w:rsidR="001C4404" w:rsidRPr="0008040F">
        <w:rPr>
          <w:rFonts w:ascii="Arial" w:hAnsi="Arial" w:cs="Arial"/>
        </w:rPr>
        <w:t xml:space="preserve">des considérations budgétaires puissent légitimer l’inexécution d’une décision de justice </w:t>
      </w:r>
      <w:r w:rsidR="00430EE1" w:rsidRPr="0008040F">
        <w:rPr>
          <w:rFonts w:ascii="Arial" w:hAnsi="Arial" w:cs="Arial"/>
        </w:rPr>
        <w:t>intimant</w:t>
      </w:r>
      <w:r w:rsidR="001C4404" w:rsidRPr="0008040F">
        <w:rPr>
          <w:rFonts w:ascii="Arial" w:hAnsi="Arial" w:cs="Arial"/>
        </w:rPr>
        <w:t xml:space="preserve"> le relogement, la haute juridiction </w:t>
      </w:r>
      <w:r w:rsidR="00F73745" w:rsidRPr="0008040F">
        <w:rPr>
          <w:rFonts w:ascii="Arial" w:hAnsi="Arial" w:cs="Arial"/>
        </w:rPr>
        <w:t>plant</w:t>
      </w:r>
      <w:r w:rsidR="009D4CA0" w:rsidRPr="0008040F">
        <w:rPr>
          <w:rFonts w:ascii="Arial" w:hAnsi="Arial" w:cs="Arial"/>
        </w:rPr>
        <w:t>e</w:t>
      </w:r>
      <w:r w:rsidR="001C4404" w:rsidRPr="0008040F">
        <w:rPr>
          <w:rFonts w:ascii="Arial" w:hAnsi="Arial" w:cs="Arial"/>
        </w:rPr>
        <w:t xml:space="preserve"> </w:t>
      </w:r>
      <w:r w:rsidR="009D4CA0" w:rsidRPr="0008040F">
        <w:rPr>
          <w:rFonts w:ascii="Arial" w:hAnsi="Arial" w:cs="Arial"/>
        </w:rPr>
        <w:t xml:space="preserve">un jalon </w:t>
      </w:r>
      <w:r w:rsidR="00F73745" w:rsidRPr="0008040F">
        <w:rPr>
          <w:rFonts w:ascii="Arial" w:hAnsi="Arial" w:cs="Arial"/>
        </w:rPr>
        <w:t>d’importance</w:t>
      </w:r>
      <w:r w:rsidR="009D4CA0" w:rsidRPr="0008040F">
        <w:rPr>
          <w:rFonts w:ascii="Arial" w:hAnsi="Arial" w:cs="Arial"/>
        </w:rPr>
        <w:t xml:space="preserve"> sur la route d’un droit au logement accessible à tous. En déniant par contre à cette même décision la valeur d’un « bien » (conventionnement protégé), elle semble aller à rebours de sa propre </w:t>
      </w:r>
      <w:r w:rsidR="009D4CA0" w:rsidRPr="0008040F">
        <w:rPr>
          <w:rFonts w:ascii="Arial" w:hAnsi="Arial" w:cs="Arial"/>
        </w:rPr>
        <w:lastRenderedPageBreak/>
        <w:t>jurisprudence</w:t>
      </w:r>
      <w:r w:rsidR="00791986" w:rsidRPr="0008040F">
        <w:rPr>
          <w:rStyle w:val="Appelnotedebasdep"/>
          <w:rFonts w:ascii="Arial" w:hAnsi="Arial" w:cs="Arial"/>
        </w:rPr>
        <w:footnoteReference w:id="29"/>
      </w:r>
      <w:r w:rsidR="00791986" w:rsidRPr="0008040F">
        <w:rPr>
          <w:rFonts w:ascii="Arial" w:hAnsi="Arial" w:cs="Arial"/>
        </w:rPr>
        <w:t>.</w:t>
      </w:r>
      <w:r w:rsidR="009D4CA0" w:rsidRPr="0008040F">
        <w:rPr>
          <w:rFonts w:ascii="Arial" w:hAnsi="Arial" w:cs="Arial"/>
        </w:rPr>
        <w:t xml:space="preserve"> ; </w:t>
      </w:r>
      <w:proofErr w:type="gramStart"/>
      <w:r w:rsidR="009D4CA0" w:rsidRPr="0008040F">
        <w:rPr>
          <w:rFonts w:ascii="Arial" w:hAnsi="Arial" w:cs="Arial"/>
        </w:rPr>
        <w:t>même</w:t>
      </w:r>
      <w:proofErr w:type="gramEnd"/>
      <w:r w:rsidR="009D4CA0" w:rsidRPr="0008040F">
        <w:rPr>
          <w:rFonts w:ascii="Arial" w:hAnsi="Arial" w:cs="Arial"/>
        </w:rPr>
        <w:t xml:space="preserve"> si, de toute façon, la condamnation de la France était déjà acquise, cet élément </w:t>
      </w:r>
      <w:r w:rsidR="00430EE1" w:rsidRPr="0008040F">
        <w:rPr>
          <w:rFonts w:ascii="Arial" w:hAnsi="Arial" w:cs="Arial"/>
        </w:rPr>
        <w:t>suscite la perplexité</w:t>
      </w:r>
      <w:r w:rsidR="00F135D1" w:rsidRPr="0008040F">
        <w:rPr>
          <w:rFonts w:ascii="Arial" w:hAnsi="Arial" w:cs="Arial"/>
        </w:rPr>
        <w:t>. Sans doute faut-il y voir le</w:t>
      </w:r>
      <w:r w:rsidR="002D22FB" w:rsidRPr="0008040F">
        <w:rPr>
          <w:rFonts w:ascii="Arial" w:hAnsi="Arial" w:cs="Arial"/>
        </w:rPr>
        <w:t xml:space="preserve"> reflet de</w:t>
      </w:r>
      <w:r w:rsidR="00F135D1" w:rsidRPr="0008040F">
        <w:rPr>
          <w:rFonts w:ascii="Arial" w:hAnsi="Arial" w:cs="Arial"/>
        </w:rPr>
        <w:t xml:space="preserve">s propres doutes de la Cour vis-à-vis d’un dispositif aussi </w:t>
      </w:r>
      <w:r w:rsidR="009E0B23" w:rsidRPr="0008040F">
        <w:rPr>
          <w:rFonts w:ascii="Arial" w:hAnsi="Arial" w:cs="Arial"/>
        </w:rPr>
        <w:t xml:space="preserve">flou — sinon bancal — </w:t>
      </w:r>
      <w:r w:rsidR="00F135D1" w:rsidRPr="0008040F">
        <w:rPr>
          <w:rFonts w:ascii="Arial" w:hAnsi="Arial" w:cs="Arial"/>
        </w:rPr>
        <w:t>que la créance DALO (droit subjectif à un logement ? droit à une action en justice ? droit à une indemnité ?...)</w:t>
      </w:r>
      <w:r w:rsidR="009E0B23" w:rsidRPr="0008040F">
        <w:rPr>
          <w:rFonts w:ascii="Arial" w:hAnsi="Arial" w:cs="Arial"/>
        </w:rPr>
        <w:t>.</w:t>
      </w:r>
    </w:p>
    <w:p w:rsidR="008F32F3" w:rsidRPr="0008040F" w:rsidRDefault="009D4CA0" w:rsidP="00165DEC">
      <w:pPr>
        <w:spacing w:line="360" w:lineRule="auto"/>
        <w:ind w:firstLine="567"/>
        <w:jc w:val="both"/>
        <w:rPr>
          <w:rFonts w:ascii="Arial" w:hAnsi="Arial" w:cs="Arial"/>
        </w:rPr>
      </w:pPr>
      <w:r w:rsidRPr="0008040F">
        <w:rPr>
          <w:rFonts w:ascii="Arial" w:hAnsi="Arial" w:cs="Arial"/>
        </w:rPr>
        <w:t>Ce qui est sûr, en tous cas, c’est que l’arrêt de la Cour (et là réside sans doute son utilité</w:t>
      </w:r>
      <w:r w:rsidR="002126BB" w:rsidRPr="0008040F">
        <w:rPr>
          <w:rFonts w:ascii="Arial" w:hAnsi="Arial" w:cs="Arial"/>
          <w:i/>
        </w:rPr>
        <w:t xml:space="preserve"> in fine</w:t>
      </w:r>
      <w:r w:rsidRPr="0008040F">
        <w:rPr>
          <w:rFonts w:ascii="Arial" w:hAnsi="Arial" w:cs="Arial"/>
        </w:rPr>
        <w:t xml:space="preserve">) pourra avantageusement venir en appui de la démarche des candidats à une habitation sociale qui, lassés d’attendre </w:t>
      </w:r>
      <w:r w:rsidR="00E34519" w:rsidRPr="0008040F">
        <w:rPr>
          <w:rFonts w:ascii="Arial" w:hAnsi="Arial" w:cs="Arial"/>
        </w:rPr>
        <w:t xml:space="preserve">la </w:t>
      </w:r>
      <w:r w:rsidR="00BA64AF" w:rsidRPr="0008040F">
        <w:rPr>
          <w:rFonts w:ascii="Arial" w:hAnsi="Arial" w:cs="Arial"/>
        </w:rPr>
        <w:t>mise</w:t>
      </w:r>
      <w:r w:rsidR="00E34519" w:rsidRPr="0008040F">
        <w:rPr>
          <w:rFonts w:ascii="Arial" w:hAnsi="Arial" w:cs="Arial"/>
        </w:rPr>
        <w:t xml:space="preserve"> en </w:t>
      </w:r>
      <w:proofErr w:type="spellStart"/>
      <w:r w:rsidR="00E34519" w:rsidRPr="0008040F">
        <w:rPr>
          <w:rFonts w:ascii="Arial" w:hAnsi="Arial" w:cs="Arial"/>
        </w:rPr>
        <w:t>oeuvre</w:t>
      </w:r>
      <w:proofErr w:type="spellEnd"/>
      <w:r w:rsidRPr="0008040F">
        <w:rPr>
          <w:rFonts w:ascii="Arial" w:hAnsi="Arial" w:cs="Arial"/>
        </w:rPr>
        <w:t xml:space="preserve"> de décisions de justice leur </w:t>
      </w:r>
      <w:r w:rsidR="00A51AE3" w:rsidRPr="0008040F">
        <w:rPr>
          <w:rFonts w:ascii="Arial" w:hAnsi="Arial" w:cs="Arial"/>
        </w:rPr>
        <w:t>étant</w:t>
      </w:r>
      <w:r w:rsidRPr="0008040F">
        <w:rPr>
          <w:rFonts w:ascii="Arial" w:hAnsi="Arial" w:cs="Arial"/>
        </w:rPr>
        <w:t xml:space="preserve"> favorables, postulent une compensation financière auprès de l’État français. Et peut-être un jour ce dernier révisera-t-il sa législation aux fins de confier au requérant (plutôt qu’à un fonds centralisé et impersonnel) le produit de l’astreinte</w:t>
      </w:r>
      <w:r w:rsidR="00F73745" w:rsidRPr="0008040F">
        <w:rPr>
          <w:rFonts w:ascii="Arial" w:hAnsi="Arial" w:cs="Arial"/>
        </w:rPr>
        <w:t xml:space="preserve">, histoire à son tour d’assurer </w:t>
      </w:r>
      <w:r w:rsidR="00A51AE3" w:rsidRPr="0008040F">
        <w:rPr>
          <w:rFonts w:ascii="Arial" w:hAnsi="Arial" w:cs="Arial"/>
        </w:rPr>
        <w:t>pleine exécution</w:t>
      </w:r>
      <w:r w:rsidR="00F73745" w:rsidRPr="0008040F">
        <w:rPr>
          <w:rFonts w:ascii="Arial" w:hAnsi="Arial" w:cs="Arial"/>
        </w:rPr>
        <w:t>…</w:t>
      </w:r>
      <w:r w:rsidR="00A51AE3" w:rsidRPr="0008040F">
        <w:rPr>
          <w:rFonts w:ascii="Arial" w:hAnsi="Arial" w:cs="Arial"/>
        </w:rPr>
        <w:t xml:space="preserve"> à l’arrêt </w:t>
      </w:r>
      <w:proofErr w:type="spellStart"/>
      <w:r w:rsidR="00A51AE3" w:rsidRPr="0008040F">
        <w:rPr>
          <w:rFonts w:ascii="Arial" w:hAnsi="Arial" w:cs="Arial"/>
        </w:rPr>
        <w:t>Tchokontio</w:t>
      </w:r>
      <w:proofErr w:type="spellEnd"/>
      <w:r w:rsidR="00A51AE3" w:rsidRPr="0008040F">
        <w:rPr>
          <w:rFonts w:ascii="Arial" w:hAnsi="Arial" w:cs="Arial"/>
        </w:rPr>
        <w:t xml:space="preserve"> </w:t>
      </w:r>
      <w:proofErr w:type="spellStart"/>
      <w:r w:rsidR="00A51AE3" w:rsidRPr="0008040F">
        <w:rPr>
          <w:rFonts w:ascii="Arial" w:hAnsi="Arial" w:cs="Arial"/>
        </w:rPr>
        <w:t>Happi</w:t>
      </w:r>
      <w:proofErr w:type="spellEnd"/>
      <w:r w:rsidR="00A51AE3" w:rsidRPr="0008040F">
        <w:rPr>
          <w:rFonts w:ascii="Arial" w:hAnsi="Arial" w:cs="Arial"/>
        </w:rPr>
        <w:t xml:space="preserve"> de la Cour e</w:t>
      </w:r>
      <w:r w:rsidR="00E34519" w:rsidRPr="0008040F">
        <w:rPr>
          <w:rFonts w:ascii="Arial" w:hAnsi="Arial" w:cs="Arial"/>
        </w:rPr>
        <w:t>uropéenne des droits de l’homme ?</w:t>
      </w:r>
    </w:p>
    <w:sectPr w:rsidR="008F32F3" w:rsidRPr="0008040F" w:rsidSect="00F703A9">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7FE" w:rsidRDefault="000B57FE" w:rsidP="00E876EF">
      <w:r>
        <w:separator/>
      </w:r>
    </w:p>
  </w:endnote>
  <w:endnote w:type="continuationSeparator" w:id="0">
    <w:p w:rsidR="000B57FE" w:rsidRDefault="000B57FE" w:rsidP="00E876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System">
    <w:panose1 w:val="00000000000000000000"/>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Sans Serif">
    <w:panose1 w:val="00000000000000000000"/>
    <w:charset w:val="4D"/>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B23" w:rsidRDefault="0067403B" w:rsidP="0091040B">
    <w:pPr>
      <w:pStyle w:val="Pieddepage"/>
      <w:framePr w:wrap="around" w:vAnchor="text" w:hAnchor="margin" w:xAlign="right" w:y="1"/>
      <w:rPr>
        <w:rStyle w:val="Numrodepage"/>
      </w:rPr>
    </w:pPr>
    <w:r>
      <w:rPr>
        <w:rStyle w:val="Numrodepage"/>
      </w:rPr>
      <w:fldChar w:fldCharType="begin"/>
    </w:r>
    <w:r w:rsidR="009E0B23">
      <w:rPr>
        <w:rStyle w:val="Numrodepage"/>
      </w:rPr>
      <w:instrText xml:space="preserve">PAGE  </w:instrText>
    </w:r>
    <w:r>
      <w:rPr>
        <w:rStyle w:val="Numrodepage"/>
      </w:rPr>
      <w:fldChar w:fldCharType="end"/>
    </w:r>
  </w:p>
  <w:p w:rsidR="009E0B23" w:rsidRDefault="009E0B23" w:rsidP="00924487">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B23" w:rsidRDefault="0067403B" w:rsidP="0091040B">
    <w:pPr>
      <w:pStyle w:val="Pieddepage"/>
      <w:framePr w:wrap="around" w:vAnchor="text" w:hAnchor="margin" w:xAlign="right" w:y="1"/>
      <w:rPr>
        <w:rStyle w:val="Numrodepage"/>
      </w:rPr>
    </w:pPr>
    <w:r>
      <w:rPr>
        <w:rStyle w:val="Numrodepage"/>
      </w:rPr>
      <w:fldChar w:fldCharType="begin"/>
    </w:r>
    <w:r w:rsidR="009E0B23">
      <w:rPr>
        <w:rStyle w:val="Numrodepage"/>
      </w:rPr>
      <w:instrText xml:space="preserve">PAGE  </w:instrText>
    </w:r>
    <w:r>
      <w:rPr>
        <w:rStyle w:val="Numrodepage"/>
      </w:rPr>
      <w:fldChar w:fldCharType="separate"/>
    </w:r>
    <w:r w:rsidR="006B49FA">
      <w:rPr>
        <w:rStyle w:val="Numrodepage"/>
        <w:noProof/>
      </w:rPr>
      <w:t>1</w:t>
    </w:r>
    <w:r>
      <w:rPr>
        <w:rStyle w:val="Numrodepage"/>
      </w:rPr>
      <w:fldChar w:fldCharType="end"/>
    </w:r>
  </w:p>
  <w:p w:rsidR="009E0B23" w:rsidRDefault="009E0B23" w:rsidP="00924487">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7FE" w:rsidRDefault="000B57FE" w:rsidP="00E876EF">
      <w:r>
        <w:separator/>
      </w:r>
    </w:p>
  </w:footnote>
  <w:footnote w:type="continuationSeparator" w:id="0">
    <w:p w:rsidR="000B57FE" w:rsidRDefault="000B57FE" w:rsidP="00E876EF">
      <w:r>
        <w:continuationSeparator/>
      </w:r>
    </w:p>
  </w:footnote>
  <w:footnote w:id="1">
    <w:p w:rsidR="009E0B23" w:rsidRPr="000B30A7" w:rsidRDefault="009E0B23" w:rsidP="00F241EB">
      <w:pPr>
        <w:pStyle w:val="Notedebasdepage"/>
        <w:jc w:val="both"/>
        <w:rPr>
          <w:rFonts w:cs="Arial"/>
        </w:rPr>
      </w:pPr>
      <w:r w:rsidRPr="000B30A7">
        <w:rPr>
          <w:rStyle w:val="Appelnotedebasdep"/>
          <w:rFonts w:cs="Arial"/>
        </w:rPr>
        <w:footnoteRef/>
      </w:r>
      <w:r w:rsidRPr="000B30A7">
        <w:rPr>
          <w:rFonts w:cs="Arial"/>
        </w:rPr>
        <w:t xml:space="preserve"> Loi n°82-526 du 22 juin 1982 relative aux droits et obligations du locataire, </w:t>
      </w:r>
      <w:r w:rsidRPr="000B30A7">
        <w:rPr>
          <w:rFonts w:cs="Arial"/>
          <w:i/>
          <w:iCs/>
        </w:rPr>
        <w:t>J.O.</w:t>
      </w:r>
      <w:r w:rsidRPr="000B30A7">
        <w:rPr>
          <w:rFonts w:cs="Arial"/>
        </w:rPr>
        <w:t>, 23 juin 1982 (art. 1</w:t>
      </w:r>
      <w:r w:rsidRPr="000B30A7">
        <w:rPr>
          <w:rFonts w:cs="Arial"/>
          <w:vertAlign w:val="superscript"/>
        </w:rPr>
        <w:t>er</w:t>
      </w:r>
      <w:r w:rsidRPr="000B30A7">
        <w:rPr>
          <w:rFonts w:cs="Arial"/>
        </w:rPr>
        <w:t xml:space="preserve">), loi n°89-462 du 6 juillet 1989 tendant à améliorer les rapports locatifs et portant modification de la loi n°86-1290 du 23 décembre 1986, </w:t>
      </w:r>
      <w:r w:rsidRPr="000B30A7">
        <w:rPr>
          <w:rFonts w:cs="Arial"/>
          <w:i/>
          <w:iCs/>
        </w:rPr>
        <w:t>J.O</w:t>
      </w:r>
      <w:r w:rsidRPr="000B30A7">
        <w:rPr>
          <w:rFonts w:cs="Arial"/>
        </w:rPr>
        <w:t>., 8 juillet 1989 (art. 1</w:t>
      </w:r>
      <w:r w:rsidRPr="000B30A7">
        <w:rPr>
          <w:rFonts w:cs="Arial"/>
          <w:vertAlign w:val="superscript"/>
        </w:rPr>
        <w:t>er</w:t>
      </w:r>
      <w:r w:rsidRPr="000B30A7">
        <w:rPr>
          <w:rFonts w:cs="Arial"/>
        </w:rPr>
        <w:t xml:space="preserve">), loi n°90-449 du 31 mai 1990 visant à la mise en œuvre du droit au logement, </w:t>
      </w:r>
      <w:r w:rsidRPr="000B30A7">
        <w:rPr>
          <w:rFonts w:cs="Arial"/>
          <w:i/>
          <w:iCs/>
        </w:rPr>
        <w:t>J.O.</w:t>
      </w:r>
      <w:r w:rsidRPr="000B30A7">
        <w:rPr>
          <w:rFonts w:cs="Arial"/>
        </w:rPr>
        <w:t>, 2 juin 1990 (art. 1</w:t>
      </w:r>
      <w:r w:rsidRPr="000B30A7">
        <w:rPr>
          <w:rFonts w:cs="Arial"/>
          <w:vertAlign w:val="superscript"/>
        </w:rPr>
        <w:t>er</w:t>
      </w:r>
      <w:r w:rsidRPr="000B30A7">
        <w:rPr>
          <w:rFonts w:cs="Arial"/>
        </w:rPr>
        <w:t xml:space="preserve">), loi n°98-657 du 29 juillet 1998 d’orientation relative à la lutte contre les exclusions, </w:t>
      </w:r>
      <w:r w:rsidRPr="000B30A7">
        <w:rPr>
          <w:rFonts w:cs="Arial"/>
          <w:i/>
          <w:iCs/>
        </w:rPr>
        <w:t>J.O.</w:t>
      </w:r>
      <w:r w:rsidRPr="000B30A7">
        <w:rPr>
          <w:rFonts w:cs="Arial"/>
        </w:rPr>
        <w:t>, 31 juillet 1998 (art. 31), …</w:t>
      </w:r>
    </w:p>
  </w:footnote>
  <w:footnote w:id="2">
    <w:p w:rsidR="009E0B23" w:rsidRPr="000B30A7" w:rsidRDefault="009E0B23" w:rsidP="00F241EB">
      <w:pPr>
        <w:pStyle w:val="Notedebasdepage"/>
        <w:jc w:val="both"/>
        <w:rPr>
          <w:rFonts w:cs="Arial"/>
        </w:rPr>
      </w:pPr>
      <w:r w:rsidRPr="000B30A7">
        <w:rPr>
          <w:rStyle w:val="Appelnotedebasdep"/>
          <w:rFonts w:cs="Arial"/>
        </w:rPr>
        <w:footnoteRef/>
      </w:r>
      <w:r w:rsidRPr="000B30A7">
        <w:rPr>
          <w:rFonts w:cs="Arial"/>
        </w:rPr>
        <w:t xml:space="preserve"> En 1995, le Conseil constitutionnel a officiellement érigé en "objectif de valeur constitutionnelle" la "possibilité pour toute personne de disposer d’un logement décent" (C.C., n°98-403 DC (Loi d'orientation relative à la lutte contre les exclusions), 29 juillet 1998, </w:t>
      </w:r>
      <w:r w:rsidRPr="000B30A7">
        <w:rPr>
          <w:rFonts w:cs="Arial"/>
          <w:i/>
          <w:iCs/>
        </w:rPr>
        <w:t>Rec</w:t>
      </w:r>
      <w:r w:rsidRPr="000B30A7">
        <w:rPr>
          <w:rFonts w:cs="Arial"/>
        </w:rPr>
        <w:t xml:space="preserve">., p. 276), suivi en cela du reste par la cour d'appel de Paris : "Le droit au logement est considéré comme un droit fondamental et comme objectif constitutionnel" (Cour d'appel de Paris, 15 septembre 1995, </w:t>
      </w:r>
      <w:r w:rsidRPr="000B30A7">
        <w:rPr>
          <w:rFonts w:cs="Arial"/>
          <w:i/>
          <w:iCs/>
        </w:rPr>
        <w:t>D</w:t>
      </w:r>
      <w:r w:rsidRPr="000B30A7">
        <w:rPr>
          <w:rFonts w:cs="Arial"/>
        </w:rPr>
        <w:t>., 1995, p. 224).</w:t>
      </w:r>
    </w:p>
  </w:footnote>
  <w:footnote w:id="3">
    <w:p w:rsidR="009E0B23" w:rsidRPr="000B30A7" w:rsidRDefault="009E0B23" w:rsidP="00F241EB">
      <w:pPr>
        <w:pStyle w:val="Notedebasdepage"/>
        <w:jc w:val="both"/>
        <w:rPr>
          <w:rFonts w:cs="Arial"/>
        </w:rPr>
      </w:pPr>
      <w:r w:rsidRPr="000B30A7">
        <w:rPr>
          <w:rStyle w:val="Appelnotedebasdep"/>
          <w:rFonts w:cs="Arial"/>
        </w:rPr>
        <w:footnoteRef/>
      </w:r>
      <w:r w:rsidRPr="000B30A7">
        <w:rPr>
          <w:rFonts w:cs="Arial"/>
        </w:rPr>
        <w:t xml:space="preserve"> </w:t>
      </w:r>
      <w:r w:rsidRPr="000B30A7">
        <w:rPr>
          <w:rFonts w:cs="Arial"/>
          <w:i/>
        </w:rPr>
        <w:t>Cf</w:t>
      </w:r>
      <w:r w:rsidRPr="000B30A7">
        <w:rPr>
          <w:rFonts w:cs="Arial"/>
        </w:rPr>
        <w:t xml:space="preserve">. le </w:t>
      </w:r>
      <w:proofErr w:type="spellStart"/>
      <w:r w:rsidRPr="000B30A7">
        <w:rPr>
          <w:rFonts w:cs="Arial"/>
          <w:i/>
          <w:iCs/>
        </w:rPr>
        <w:t>Homelessness</w:t>
      </w:r>
      <w:proofErr w:type="spellEnd"/>
      <w:r w:rsidRPr="000B30A7">
        <w:rPr>
          <w:rFonts w:cs="Arial"/>
          <w:i/>
          <w:iCs/>
        </w:rPr>
        <w:t xml:space="preserve"> etc. (Scotland) </w:t>
      </w:r>
      <w:proofErr w:type="spellStart"/>
      <w:r w:rsidRPr="000B30A7">
        <w:rPr>
          <w:rFonts w:cs="Arial"/>
          <w:i/>
          <w:iCs/>
        </w:rPr>
        <w:t>Act</w:t>
      </w:r>
      <w:proofErr w:type="spellEnd"/>
      <w:r w:rsidRPr="000B30A7">
        <w:rPr>
          <w:rFonts w:cs="Arial"/>
          <w:i/>
          <w:iCs/>
        </w:rPr>
        <w:t xml:space="preserve"> 2003</w:t>
      </w:r>
      <w:r w:rsidRPr="000B30A7">
        <w:rPr>
          <w:rFonts w:cs="Arial"/>
          <w:iCs/>
        </w:rPr>
        <w:t xml:space="preserve"> (adopté par le Parlement le 5 mars 2003 et revêtu de l’assentiment royal le 9 avril de la même année)</w:t>
      </w:r>
      <w:r w:rsidRPr="000B30A7">
        <w:rPr>
          <w:rFonts w:cs="Arial"/>
        </w:rPr>
        <w:t xml:space="preserve">. </w:t>
      </w:r>
      <w:proofErr w:type="spellStart"/>
      <w:r w:rsidRPr="00500ECE">
        <w:rPr>
          <w:rFonts w:cs="Arial"/>
          <w:lang w:val="en-US"/>
        </w:rPr>
        <w:t>Voy</w:t>
      </w:r>
      <w:proofErr w:type="spellEnd"/>
      <w:r w:rsidRPr="00500ECE">
        <w:rPr>
          <w:rFonts w:cs="Arial"/>
          <w:lang w:val="en-US"/>
        </w:rPr>
        <w:t xml:space="preserve">., pour de plus </w:t>
      </w:r>
      <w:proofErr w:type="spellStart"/>
      <w:r w:rsidRPr="00500ECE">
        <w:rPr>
          <w:rFonts w:cs="Arial"/>
          <w:lang w:val="en-US"/>
        </w:rPr>
        <w:t>amples</w:t>
      </w:r>
      <w:proofErr w:type="spellEnd"/>
      <w:r w:rsidRPr="00500ECE">
        <w:rPr>
          <w:rFonts w:cs="Arial"/>
          <w:lang w:val="en-US"/>
        </w:rPr>
        <w:t xml:space="preserve"> </w:t>
      </w:r>
      <w:proofErr w:type="spellStart"/>
      <w:r w:rsidRPr="00500ECE">
        <w:rPr>
          <w:rFonts w:cs="Arial"/>
          <w:lang w:val="en-US"/>
        </w:rPr>
        <w:t>développements</w:t>
      </w:r>
      <w:proofErr w:type="spellEnd"/>
      <w:r w:rsidRPr="00500ECE">
        <w:rPr>
          <w:rFonts w:cs="Arial"/>
          <w:lang w:val="en-US"/>
        </w:rPr>
        <w:t xml:space="preserve">, R. ALDRIDGE, « The </w:t>
      </w:r>
      <w:proofErr w:type="spellStart"/>
      <w:r w:rsidRPr="00500ECE">
        <w:rPr>
          <w:rFonts w:cs="Arial"/>
          <w:lang w:val="en-US"/>
        </w:rPr>
        <w:t>scottish</w:t>
      </w:r>
      <w:proofErr w:type="spellEnd"/>
      <w:r w:rsidRPr="00500ECE">
        <w:rPr>
          <w:rFonts w:cs="Arial"/>
          <w:lang w:val="en-US"/>
        </w:rPr>
        <w:t xml:space="preserve"> homelessness framework. Is it working ? », </w:t>
      </w:r>
      <w:proofErr w:type="spellStart"/>
      <w:r w:rsidRPr="00500ECE">
        <w:rPr>
          <w:rFonts w:cs="Arial"/>
          <w:i/>
          <w:lang w:val="en-US"/>
        </w:rPr>
        <w:t>Recht</w:t>
      </w:r>
      <w:proofErr w:type="spellEnd"/>
      <w:r w:rsidRPr="00500ECE">
        <w:rPr>
          <w:rFonts w:cs="Arial"/>
          <w:i/>
          <w:lang w:val="en-US"/>
        </w:rPr>
        <w:t xml:space="preserve"> op </w:t>
      </w:r>
      <w:proofErr w:type="spellStart"/>
      <w:r w:rsidRPr="00500ECE">
        <w:rPr>
          <w:rFonts w:cs="Arial"/>
          <w:i/>
          <w:lang w:val="en-US"/>
        </w:rPr>
        <w:t>wonen</w:t>
      </w:r>
      <w:proofErr w:type="spellEnd"/>
      <w:r w:rsidRPr="00500ECE">
        <w:rPr>
          <w:rFonts w:cs="Arial"/>
          <w:i/>
          <w:lang w:val="en-US"/>
        </w:rPr>
        <w:t xml:space="preserve"> : </w:t>
      </w:r>
      <w:proofErr w:type="spellStart"/>
      <w:r w:rsidRPr="00500ECE">
        <w:rPr>
          <w:rFonts w:cs="Arial"/>
          <w:i/>
          <w:lang w:val="en-US"/>
        </w:rPr>
        <w:t>naar</w:t>
      </w:r>
      <w:proofErr w:type="spellEnd"/>
      <w:r w:rsidRPr="00500ECE">
        <w:rPr>
          <w:rFonts w:cs="Arial"/>
          <w:i/>
          <w:lang w:val="en-US"/>
        </w:rPr>
        <w:t xml:space="preserve"> </w:t>
      </w:r>
      <w:proofErr w:type="spellStart"/>
      <w:r w:rsidRPr="00500ECE">
        <w:rPr>
          <w:rFonts w:cs="Arial"/>
          <w:i/>
          <w:lang w:val="en-US"/>
        </w:rPr>
        <w:t>een</w:t>
      </w:r>
      <w:proofErr w:type="spellEnd"/>
      <w:r w:rsidRPr="00500ECE">
        <w:rPr>
          <w:rFonts w:cs="Arial"/>
          <w:i/>
          <w:lang w:val="en-US"/>
        </w:rPr>
        <w:t xml:space="preserve"> </w:t>
      </w:r>
      <w:proofErr w:type="spellStart"/>
      <w:r w:rsidRPr="00500ECE">
        <w:rPr>
          <w:rFonts w:cs="Arial"/>
          <w:i/>
          <w:lang w:val="en-US"/>
        </w:rPr>
        <w:t>resultaatsverbintenis</w:t>
      </w:r>
      <w:proofErr w:type="spellEnd"/>
      <w:r w:rsidRPr="00500ECE">
        <w:rPr>
          <w:rFonts w:cs="Arial"/>
          <w:i/>
          <w:lang w:val="en-US"/>
        </w:rPr>
        <w:t> ?</w:t>
      </w:r>
      <w:r w:rsidRPr="00500ECE">
        <w:rPr>
          <w:rFonts w:cs="Arial"/>
          <w:lang w:val="en-US"/>
        </w:rPr>
        <w:t xml:space="preserve"> </w:t>
      </w:r>
      <w:r w:rsidRPr="000B30A7">
        <w:rPr>
          <w:rFonts w:cs="Arial"/>
          <w:i/>
        </w:rPr>
        <w:t>Droit au logement : vers une obligation de résultat ?</w:t>
      </w:r>
      <w:r w:rsidRPr="000B30A7">
        <w:rPr>
          <w:rFonts w:cs="Arial"/>
        </w:rPr>
        <w:t>,</w:t>
      </w:r>
      <w:r w:rsidRPr="000B30A7">
        <w:rPr>
          <w:rFonts w:cs="Arial"/>
          <w:i/>
        </w:rPr>
        <w:t xml:space="preserve"> </w:t>
      </w:r>
      <w:r w:rsidRPr="000B30A7">
        <w:rPr>
          <w:rFonts w:cs="Arial"/>
        </w:rPr>
        <w:t xml:space="preserve">sous la direction de N. Bernard et B. </w:t>
      </w:r>
      <w:proofErr w:type="spellStart"/>
      <w:r w:rsidRPr="000B30A7">
        <w:rPr>
          <w:rFonts w:cs="Arial"/>
        </w:rPr>
        <w:t>Hubeau</w:t>
      </w:r>
      <w:proofErr w:type="spellEnd"/>
      <w:r w:rsidRPr="000B30A7">
        <w:rPr>
          <w:rFonts w:cs="Arial"/>
        </w:rPr>
        <w:t xml:space="preserve">, Bruxelles, La Charte, 2013, p. 23 et s., T. MULLEN, « The right to </w:t>
      </w:r>
      <w:proofErr w:type="spellStart"/>
      <w:r w:rsidRPr="000B30A7">
        <w:rPr>
          <w:rFonts w:cs="Arial"/>
        </w:rPr>
        <w:t>housing</w:t>
      </w:r>
      <w:proofErr w:type="spellEnd"/>
      <w:r w:rsidRPr="000B30A7">
        <w:rPr>
          <w:rFonts w:cs="Arial"/>
        </w:rPr>
        <w:t xml:space="preserve"> in Scotland », </w:t>
      </w:r>
      <w:proofErr w:type="spellStart"/>
      <w:r w:rsidRPr="000B30A7">
        <w:rPr>
          <w:rFonts w:cs="Arial"/>
          <w:i/>
        </w:rPr>
        <w:t>Homelessness</w:t>
      </w:r>
      <w:proofErr w:type="spellEnd"/>
      <w:r w:rsidRPr="000B30A7">
        <w:rPr>
          <w:rFonts w:cs="Arial"/>
          <w:i/>
        </w:rPr>
        <w:t xml:space="preserve"> in Europe</w:t>
      </w:r>
      <w:r w:rsidRPr="000B30A7">
        <w:rPr>
          <w:rFonts w:cs="Arial"/>
        </w:rPr>
        <w:t xml:space="preserve">, </w:t>
      </w:r>
      <w:proofErr w:type="spellStart"/>
      <w:r w:rsidRPr="000B30A7">
        <w:rPr>
          <w:rFonts w:cs="Arial"/>
        </w:rPr>
        <w:t>autumn</w:t>
      </w:r>
      <w:proofErr w:type="spellEnd"/>
      <w:r w:rsidRPr="000B30A7">
        <w:rPr>
          <w:rFonts w:cs="Arial"/>
        </w:rPr>
        <w:t xml:space="preserve"> 2008, p. 20 et s., ainsi que L. MEUNIER, "Logement : la voie écossaise", </w:t>
      </w:r>
      <w:r w:rsidRPr="000B30A7">
        <w:rPr>
          <w:rFonts w:cs="Arial"/>
          <w:i/>
          <w:iCs/>
        </w:rPr>
        <w:t>Alternatives économiques</w:t>
      </w:r>
      <w:r w:rsidRPr="000B30A7">
        <w:rPr>
          <w:rFonts w:cs="Arial"/>
        </w:rPr>
        <w:t>, 2006, n°248, p. 33 et s.</w:t>
      </w:r>
    </w:p>
  </w:footnote>
  <w:footnote w:id="4">
    <w:p w:rsidR="009E0B23" w:rsidRPr="000B30A7" w:rsidRDefault="009E0B23" w:rsidP="00F241EB">
      <w:pPr>
        <w:pStyle w:val="Notedebasdepage"/>
        <w:jc w:val="both"/>
        <w:rPr>
          <w:rFonts w:cs="Arial"/>
        </w:rPr>
      </w:pPr>
      <w:r w:rsidRPr="000B30A7">
        <w:rPr>
          <w:rStyle w:val="Appelnotedebasdep"/>
          <w:rFonts w:cs="Arial"/>
        </w:rPr>
        <w:footnoteRef/>
      </w:r>
      <w:r w:rsidRPr="000B30A7">
        <w:rPr>
          <w:rFonts w:cs="Arial"/>
        </w:rPr>
        <w:t xml:space="preserve"> Loi n° 2007-290 du 5 mars 2007 instituant le droit au logement opposable et portant diverses mesures en faveur de la cohésion sociale, </w:t>
      </w:r>
      <w:r w:rsidRPr="000B30A7">
        <w:rPr>
          <w:rFonts w:cs="Arial"/>
          <w:i/>
          <w:iCs/>
        </w:rPr>
        <w:t>J.O</w:t>
      </w:r>
      <w:r w:rsidRPr="000B30A7">
        <w:rPr>
          <w:rFonts w:cs="Arial"/>
        </w:rPr>
        <w:t xml:space="preserve">., 6 mars 2007. </w:t>
      </w:r>
      <w:r w:rsidRPr="000B30A7">
        <w:rPr>
          <w:rFonts w:cs="Arial"/>
          <w:i/>
        </w:rPr>
        <w:t>Cf</w:t>
      </w:r>
      <w:r w:rsidRPr="000B30A7">
        <w:rPr>
          <w:rFonts w:cs="Arial"/>
        </w:rPr>
        <w:t xml:space="preserve">. également le décret n°2007-1677 du 28 novembre 2007 relatif à l'attribution des logements locatifs sociaux, au droit au logement opposable et modifiant le Code de la construction et de l'habitation, </w:t>
      </w:r>
      <w:r w:rsidRPr="000B30A7">
        <w:rPr>
          <w:rFonts w:cs="Arial"/>
          <w:i/>
          <w:iCs/>
        </w:rPr>
        <w:t>J.O.</w:t>
      </w:r>
      <w:r w:rsidRPr="000B30A7">
        <w:rPr>
          <w:rFonts w:cs="Arial"/>
        </w:rPr>
        <w:t xml:space="preserve"> n°277 du 29 novembre 2007, </w:t>
      </w:r>
      <w:r w:rsidRPr="000B30A7">
        <w:rPr>
          <w:rStyle w:val="lev"/>
          <w:rFonts w:eastAsia="Times New Roman" w:cs="Arial"/>
          <w:b w:val="0"/>
        </w:rPr>
        <w:t xml:space="preserve">le décret n°2008-908 du 8 septembre 2008 relatif aux conditions de permanence de la résidence des bénéficiaires du droit à un logement décent et indépendant et modifiant le Code de la construction et de l'habitation, </w:t>
      </w:r>
      <w:r w:rsidRPr="000B30A7">
        <w:rPr>
          <w:rFonts w:eastAsia="Times New Roman" w:cs="Arial"/>
          <w:i/>
        </w:rPr>
        <w:t>J.O.</w:t>
      </w:r>
      <w:r w:rsidRPr="000B30A7">
        <w:rPr>
          <w:rFonts w:eastAsia="Times New Roman" w:cs="Arial"/>
        </w:rPr>
        <w:t xml:space="preserve"> n°0211 du 10 septembre 2008, </w:t>
      </w:r>
      <w:r w:rsidRPr="000B30A7">
        <w:rPr>
          <w:rFonts w:cs="Arial"/>
        </w:rPr>
        <w:t xml:space="preserve">le </w:t>
      </w:r>
      <w:r w:rsidRPr="000B30A7">
        <w:rPr>
          <w:rFonts w:cs="Arial"/>
          <w:bCs/>
        </w:rPr>
        <w:t xml:space="preserve">décret n°2010-431 du 29 avril 2010 relatif à la procédure d'enregistrement des demandes de logement locatif social, </w:t>
      </w:r>
      <w:r w:rsidRPr="000B30A7">
        <w:rPr>
          <w:rFonts w:cs="Arial"/>
          <w:i/>
          <w:iCs/>
        </w:rPr>
        <w:t>J.O.</w:t>
      </w:r>
      <w:r w:rsidRPr="000B30A7">
        <w:rPr>
          <w:rFonts w:cs="Arial"/>
        </w:rPr>
        <w:t xml:space="preserve"> n°0102, 2 mai 2010, ainsi que la circulaire du 26 octobre 2012 relatif aux modalités de mise en œuvre du droit au logement opposable (</w:t>
      </w:r>
      <w:proofErr w:type="spellStart"/>
      <w:r w:rsidRPr="000B30A7">
        <w:rPr>
          <w:rFonts w:cs="Arial"/>
        </w:rPr>
        <w:t>Dalo</w:t>
      </w:r>
      <w:proofErr w:type="spellEnd"/>
      <w:r w:rsidRPr="000B30A7">
        <w:rPr>
          <w:rFonts w:cs="Arial"/>
        </w:rPr>
        <w:t>).</w:t>
      </w:r>
    </w:p>
  </w:footnote>
  <w:footnote w:id="5">
    <w:p w:rsidR="009E0B23" w:rsidRPr="000B30A7" w:rsidRDefault="009E0B23" w:rsidP="00F241EB">
      <w:pPr>
        <w:pStyle w:val="Notedebasd"/>
        <w:jc w:val="both"/>
        <w:rPr>
          <w:rFonts w:ascii="Arial" w:hAnsi="Arial" w:cs="Arial"/>
        </w:rPr>
      </w:pPr>
      <w:r w:rsidRPr="000B30A7">
        <w:rPr>
          <w:rFonts w:ascii="Arial" w:hAnsi="Arial" w:cs="Arial"/>
        </w:rPr>
        <w:footnoteRef/>
      </w:r>
      <w:r w:rsidRPr="000B30A7">
        <w:rPr>
          <w:rFonts w:ascii="Arial" w:hAnsi="Arial" w:cs="Arial"/>
        </w:rPr>
        <w:t xml:space="preserve"> </w:t>
      </w:r>
      <w:proofErr w:type="spellStart"/>
      <w:r w:rsidRPr="000B30A7">
        <w:rPr>
          <w:rFonts w:ascii="Arial" w:hAnsi="Arial" w:cs="Arial"/>
        </w:rPr>
        <w:t>Voy</w:t>
      </w:r>
      <w:proofErr w:type="spellEnd"/>
      <w:r w:rsidRPr="000B30A7">
        <w:rPr>
          <w:rFonts w:ascii="Arial" w:hAnsi="Arial" w:cs="Arial"/>
        </w:rPr>
        <w:t xml:space="preserve">. Notamment B. LACHARME, « Reconnu hier, opposable aujourd’hui, assumé demain ? Le droit au logement en France », </w:t>
      </w:r>
      <w:proofErr w:type="spellStart"/>
      <w:r w:rsidRPr="000B30A7">
        <w:rPr>
          <w:rFonts w:ascii="Arial" w:hAnsi="Arial" w:cs="Arial"/>
          <w:i/>
        </w:rPr>
        <w:t>Recht</w:t>
      </w:r>
      <w:proofErr w:type="spellEnd"/>
      <w:r w:rsidRPr="000B30A7">
        <w:rPr>
          <w:rFonts w:ascii="Arial" w:hAnsi="Arial" w:cs="Arial"/>
          <w:i/>
        </w:rPr>
        <w:t xml:space="preserve"> op </w:t>
      </w:r>
      <w:proofErr w:type="spellStart"/>
      <w:r w:rsidRPr="000B30A7">
        <w:rPr>
          <w:rFonts w:ascii="Arial" w:hAnsi="Arial" w:cs="Arial"/>
          <w:i/>
        </w:rPr>
        <w:t>wonen</w:t>
      </w:r>
      <w:proofErr w:type="spellEnd"/>
      <w:r w:rsidRPr="000B30A7">
        <w:rPr>
          <w:rFonts w:ascii="Arial" w:hAnsi="Arial" w:cs="Arial"/>
          <w:i/>
        </w:rPr>
        <w:t xml:space="preserve"> : </w:t>
      </w:r>
      <w:proofErr w:type="spellStart"/>
      <w:r w:rsidRPr="000B30A7">
        <w:rPr>
          <w:rFonts w:ascii="Arial" w:hAnsi="Arial" w:cs="Arial"/>
          <w:i/>
        </w:rPr>
        <w:t>naar</w:t>
      </w:r>
      <w:proofErr w:type="spellEnd"/>
      <w:r w:rsidRPr="000B30A7">
        <w:rPr>
          <w:rFonts w:ascii="Arial" w:hAnsi="Arial" w:cs="Arial"/>
          <w:i/>
        </w:rPr>
        <w:t xml:space="preserve"> </w:t>
      </w:r>
      <w:proofErr w:type="spellStart"/>
      <w:r w:rsidRPr="000B30A7">
        <w:rPr>
          <w:rFonts w:ascii="Arial" w:hAnsi="Arial" w:cs="Arial"/>
          <w:i/>
        </w:rPr>
        <w:t>een</w:t>
      </w:r>
      <w:proofErr w:type="spellEnd"/>
      <w:r w:rsidRPr="000B30A7">
        <w:rPr>
          <w:rFonts w:ascii="Arial" w:hAnsi="Arial" w:cs="Arial"/>
          <w:i/>
        </w:rPr>
        <w:t xml:space="preserve"> </w:t>
      </w:r>
      <w:proofErr w:type="spellStart"/>
      <w:r w:rsidRPr="000B30A7">
        <w:rPr>
          <w:rFonts w:ascii="Arial" w:hAnsi="Arial" w:cs="Arial"/>
          <w:i/>
        </w:rPr>
        <w:t>resultaatsverbintenis</w:t>
      </w:r>
      <w:proofErr w:type="spellEnd"/>
      <w:r w:rsidRPr="000B30A7">
        <w:rPr>
          <w:rFonts w:ascii="Arial" w:hAnsi="Arial" w:cs="Arial"/>
          <w:i/>
        </w:rPr>
        <w:t> ?</w:t>
      </w:r>
      <w:r w:rsidRPr="000B30A7">
        <w:rPr>
          <w:rFonts w:ascii="Arial" w:hAnsi="Arial" w:cs="Arial"/>
        </w:rPr>
        <w:t xml:space="preserve"> </w:t>
      </w:r>
      <w:r w:rsidRPr="000B30A7">
        <w:rPr>
          <w:rFonts w:ascii="Arial" w:hAnsi="Arial" w:cs="Arial"/>
          <w:i/>
        </w:rPr>
        <w:t>Droit au logement : vers une obligation de résultat ?</w:t>
      </w:r>
      <w:r w:rsidRPr="000B30A7">
        <w:rPr>
          <w:rFonts w:ascii="Arial" w:hAnsi="Arial" w:cs="Arial"/>
        </w:rPr>
        <w:t>,</w:t>
      </w:r>
      <w:r w:rsidRPr="000B30A7">
        <w:rPr>
          <w:rFonts w:ascii="Arial" w:hAnsi="Arial" w:cs="Arial"/>
          <w:i/>
        </w:rPr>
        <w:t xml:space="preserve"> </w:t>
      </w:r>
      <w:r w:rsidRPr="000B30A7">
        <w:rPr>
          <w:rFonts w:ascii="Arial" w:hAnsi="Arial" w:cs="Arial"/>
        </w:rPr>
        <w:t xml:space="preserve">sous la direction de N. Bernard et B. </w:t>
      </w:r>
      <w:proofErr w:type="spellStart"/>
      <w:r w:rsidRPr="000B30A7">
        <w:rPr>
          <w:rFonts w:ascii="Arial" w:hAnsi="Arial" w:cs="Arial"/>
        </w:rPr>
        <w:t>Hubeau</w:t>
      </w:r>
      <w:proofErr w:type="spellEnd"/>
      <w:r w:rsidRPr="000B30A7">
        <w:rPr>
          <w:rFonts w:ascii="Arial" w:hAnsi="Arial" w:cs="Arial"/>
        </w:rPr>
        <w:t xml:space="preserve">, Bruxelles, La Charte, 2013, p. 31 et </w:t>
      </w:r>
      <w:proofErr w:type="gramStart"/>
      <w:r w:rsidRPr="000B30A7">
        <w:rPr>
          <w:rFonts w:ascii="Arial" w:hAnsi="Arial" w:cs="Arial"/>
        </w:rPr>
        <w:t>s.,</w:t>
      </w:r>
      <w:proofErr w:type="gramEnd"/>
      <w:r w:rsidRPr="000B30A7">
        <w:rPr>
          <w:rFonts w:ascii="Arial" w:hAnsi="Arial" w:cs="Arial"/>
        </w:rPr>
        <w:t xml:space="preserve"> E. SALES, « Réflexions sur la notion d’opposabilité du droit au logement », </w:t>
      </w:r>
      <w:proofErr w:type="spellStart"/>
      <w:r w:rsidRPr="000B30A7">
        <w:rPr>
          <w:rFonts w:ascii="Arial" w:hAnsi="Arial" w:cs="Arial"/>
          <w:i/>
        </w:rPr>
        <w:t>Recht</w:t>
      </w:r>
      <w:proofErr w:type="spellEnd"/>
      <w:r w:rsidRPr="000B30A7">
        <w:rPr>
          <w:rFonts w:ascii="Arial" w:hAnsi="Arial" w:cs="Arial"/>
          <w:i/>
        </w:rPr>
        <w:t xml:space="preserve"> op </w:t>
      </w:r>
      <w:proofErr w:type="spellStart"/>
      <w:r w:rsidRPr="000B30A7">
        <w:rPr>
          <w:rFonts w:ascii="Arial" w:hAnsi="Arial" w:cs="Arial"/>
          <w:i/>
        </w:rPr>
        <w:t>wonen</w:t>
      </w:r>
      <w:proofErr w:type="spellEnd"/>
      <w:r w:rsidRPr="000B30A7">
        <w:rPr>
          <w:rFonts w:ascii="Arial" w:hAnsi="Arial" w:cs="Arial"/>
          <w:i/>
        </w:rPr>
        <w:t xml:space="preserve"> : </w:t>
      </w:r>
      <w:proofErr w:type="spellStart"/>
      <w:r w:rsidRPr="000B30A7">
        <w:rPr>
          <w:rFonts w:ascii="Arial" w:hAnsi="Arial" w:cs="Arial"/>
          <w:i/>
        </w:rPr>
        <w:t>naar</w:t>
      </w:r>
      <w:proofErr w:type="spellEnd"/>
      <w:r w:rsidRPr="000B30A7">
        <w:rPr>
          <w:rFonts w:ascii="Arial" w:hAnsi="Arial" w:cs="Arial"/>
          <w:i/>
        </w:rPr>
        <w:t xml:space="preserve"> </w:t>
      </w:r>
      <w:proofErr w:type="spellStart"/>
      <w:r w:rsidRPr="000B30A7">
        <w:rPr>
          <w:rFonts w:ascii="Arial" w:hAnsi="Arial" w:cs="Arial"/>
          <w:i/>
        </w:rPr>
        <w:t>een</w:t>
      </w:r>
      <w:proofErr w:type="spellEnd"/>
      <w:r w:rsidRPr="000B30A7">
        <w:rPr>
          <w:rFonts w:ascii="Arial" w:hAnsi="Arial" w:cs="Arial"/>
          <w:i/>
        </w:rPr>
        <w:t xml:space="preserve"> </w:t>
      </w:r>
      <w:proofErr w:type="spellStart"/>
      <w:r w:rsidRPr="000B30A7">
        <w:rPr>
          <w:rFonts w:ascii="Arial" w:hAnsi="Arial" w:cs="Arial"/>
          <w:i/>
        </w:rPr>
        <w:t>resultaatsverbintenis</w:t>
      </w:r>
      <w:proofErr w:type="spellEnd"/>
      <w:r w:rsidRPr="000B30A7">
        <w:rPr>
          <w:rFonts w:ascii="Arial" w:hAnsi="Arial" w:cs="Arial"/>
          <w:i/>
        </w:rPr>
        <w:t> ?</w:t>
      </w:r>
      <w:r w:rsidRPr="000B30A7">
        <w:rPr>
          <w:rFonts w:ascii="Arial" w:hAnsi="Arial" w:cs="Arial"/>
        </w:rPr>
        <w:t xml:space="preserve"> </w:t>
      </w:r>
      <w:r w:rsidRPr="000B30A7">
        <w:rPr>
          <w:rFonts w:ascii="Arial" w:hAnsi="Arial" w:cs="Arial"/>
          <w:i/>
        </w:rPr>
        <w:t>Droit au logement : vers une obligation de résultat ?</w:t>
      </w:r>
      <w:r w:rsidRPr="000B30A7">
        <w:rPr>
          <w:rFonts w:ascii="Arial" w:hAnsi="Arial" w:cs="Arial"/>
        </w:rPr>
        <w:t>,</w:t>
      </w:r>
      <w:r w:rsidRPr="000B30A7">
        <w:rPr>
          <w:rFonts w:ascii="Arial" w:hAnsi="Arial" w:cs="Arial"/>
          <w:i/>
        </w:rPr>
        <w:t xml:space="preserve"> </w:t>
      </w:r>
      <w:r w:rsidRPr="000B30A7">
        <w:rPr>
          <w:rFonts w:ascii="Arial" w:hAnsi="Arial" w:cs="Arial"/>
        </w:rPr>
        <w:t xml:space="preserve">sous la direction de N. Bernard et B. </w:t>
      </w:r>
      <w:proofErr w:type="spellStart"/>
      <w:r w:rsidRPr="000B30A7">
        <w:rPr>
          <w:rFonts w:ascii="Arial" w:hAnsi="Arial" w:cs="Arial"/>
        </w:rPr>
        <w:t>Hubeau</w:t>
      </w:r>
      <w:proofErr w:type="spellEnd"/>
      <w:r w:rsidRPr="000B30A7">
        <w:rPr>
          <w:rFonts w:ascii="Arial" w:hAnsi="Arial" w:cs="Arial"/>
        </w:rPr>
        <w:t xml:space="preserve">, Bruxelles, La Charte, 2013, p. 47 et s., L. THOLOME, « La mise en </w:t>
      </w:r>
      <w:proofErr w:type="spellStart"/>
      <w:r w:rsidRPr="000B30A7">
        <w:rPr>
          <w:rFonts w:ascii="Arial" w:hAnsi="Arial" w:cs="Arial"/>
        </w:rPr>
        <w:t>oeuvre</w:t>
      </w:r>
      <w:proofErr w:type="spellEnd"/>
      <w:r w:rsidRPr="000B30A7">
        <w:rPr>
          <w:rFonts w:ascii="Arial" w:hAnsi="Arial" w:cs="Arial"/>
        </w:rPr>
        <w:t xml:space="preserve"> du droit au logement opposable : il ne faut jamais mettre la charrue avant les </w:t>
      </w:r>
      <w:proofErr w:type="spellStart"/>
      <w:r w:rsidRPr="000B30A7">
        <w:rPr>
          <w:rFonts w:ascii="Arial" w:hAnsi="Arial" w:cs="Arial"/>
        </w:rPr>
        <w:t>boeufs</w:t>
      </w:r>
      <w:proofErr w:type="spellEnd"/>
      <w:r w:rsidRPr="000B30A7">
        <w:rPr>
          <w:rFonts w:ascii="Arial" w:hAnsi="Arial" w:cs="Arial"/>
        </w:rPr>
        <w:t xml:space="preserve"> », </w:t>
      </w:r>
      <w:r w:rsidRPr="000B30A7">
        <w:rPr>
          <w:rFonts w:ascii="Arial" w:hAnsi="Arial" w:cs="Arial"/>
          <w:i/>
          <w:iCs/>
        </w:rPr>
        <w:t>Echos log</w:t>
      </w:r>
      <w:r w:rsidRPr="000B30A7">
        <w:rPr>
          <w:rFonts w:ascii="Arial" w:hAnsi="Arial" w:cs="Arial"/>
        </w:rPr>
        <w:t xml:space="preserve">., 2009, n°4, p. 13 et s., </w:t>
      </w:r>
      <w:r w:rsidRPr="000B30A7">
        <w:rPr>
          <w:rFonts w:ascii="Arial" w:hAnsi="Arial" w:cs="Arial"/>
          <w:lang w:bidi="ar-SA"/>
        </w:rPr>
        <w:t xml:space="preserve">C. WOLMARK, « L’opposabilité du droit au logement », </w:t>
      </w:r>
      <w:r w:rsidRPr="000B30A7">
        <w:rPr>
          <w:rFonts w:ascii="Arial" w:hAnsi="Arial" w:cs="Arial"/>
          <w:i/>
          <w:lang w:bidi="ar-SA"/>
        </w:rPr>
        <w:t>Rec. Dalloz</w:t>
      </w:r>
      <w:r w:rsidRPr="000B30A7">
        <w:rPr>
          <w:rFonts w:ascii="Arial" w:hAnsi="Arial" w:cs="Arial"/>
          <w:lang w:bidi="ar-SA"/>
        </w:rPr>
        <w:t xml:space="preserve">, 2008, n°2, p. 104 et s., ainsi que </w:t>
      </w:r>
      <w:r w:rsidRPr="000B30A7">
        <w:rPr>
          <w:rFonts w:ascii="Arial" w:hAnsi="Arial" w:cs="Arial"/>
        </w:rPr>
        <w:t xml:space="preserve">N. BERNARD, « Le droit opposable au logement vu de l'étranger : poudre aux yeux ou avancée décisive ? », </w:t>
      </w:r>
      <w:r w:rsidRPr="000B30A7">
        <w:rPr>
          <w:rFonts w:ascii="Arial" w:hAnsi="Arial" w:cs="Arial"/>
          <w:i/>
        </w:rPr>
        <w:t>Revue du droit public et de la science politique en France et à l'étranger</w:t>
      </w:r>
      <w:r w:rsidRPr="000B30A7">
        <w:rPr>
          <w:rFonts w:ascii="Arial" w:hAnsi="Arial" w:cs="Arial"/>
        </w:rPr>
        <w:t xml:space="preserve">, 2008, n°3, p. 833 et s. </w:t>
      </w:r>
      <w:r w:rsidRPr="000B30A7">
        <w:rPr>
          <w:rFonts w:ascii="Arial" w:hAnsi="Arial" w:cs="Arial"/>
          <w:bCs/>
        </w:rPr>
        <w:t xml:space="preserve">Pour des applications jurisprudentielles, </w:t>
      </w:r>
      <w:proofErr w:type="spellStart"/>
      <w:r w:rsidRPr="000B30A7">
        <w:rPr>
          <w:rFonts w:ascii="Arial" w:hAnsi="Arial" w:cs="Arial"/>
          <w:bCs/>
        </w:rPr>
        <w:t>voy</w:t>
      </w:r>
      <w:proofErr w:type="spellEnd"/>
      <w:r w:rsidRPr="000B30A7">
        <w:rPr>
          <w:rFonts w:ascii="Arial" w:hAnsi="Arial" w:cs="Arial"/>
          <w:bCs/>
        </w:rPr>
        <w:t xml:space="preserve">. notamment C.E. </w:t>
      </w:r>
      <w:proofErr w:type="spellStart"/>
      <w:proofErr w:type="gramStart"/>
      <w:r w:rsidRPr="000B30A7">
        <w:rPr>
          <w:rFonts w:ascii="Arial" w:hAnsi="Arial" w:cs="Arial"/>
          <w:bCs/>
        </w:rPr>
        <w:t>fr</w:t>
      </w:r>
      <w:proofErr w:type="spellEnd"/>
      <w:r w:rsidRPr="000B30A7">
        <w:rPr>
          <w:rFonts w:ascii="Arial" w:hAnsi="Arial" w:cs="Arial"/>
          <w:bCs/>
        </w:rPr>
        <w:t>.,</w:t>
      </w:r>
      <w:proofErr w:type="gramEnd"/>
      <w:r w:rsidRPr="000B30A7">
        <w:rPr>
          <w:rFonts w:ascii="Arial" w:hAnsi="Arial" w:cs="Arial"/>
          <w:bCs/>
        </w:rPr>
        <w:t xml:space="preserve"> 4 février 2010, n°334958, </w:t>
      </w:r>
      <w:r w:rsidRPr="000B30A7">
        <w:rPr>
          <w:rFonts w:ascii="Arial" w:hAnsi="Arial" w:cs="Arial"/>
          <w:bCs/>
          <w:i/>
        </w:rPr>
        <w:t>A.J.D.A</w:t>
      </w:r>
      <w:r w:rsidRPr="000B30A7">
        <w:rPr>
          <w:rFonts w:ascii="Arial" w:hAnsi="Arial" w:cs="Arial"/>
          <w:bCs/>
        </w:rPr>
        <w:t xml:space="preserve">., 2010, p. 1723, note, ainsi que C.E. </w:t>
      </w:r>
      <w:proofErr w:type="spellStart"/>
      <w:r w:rsidRPr="000B30A7">
        <w:rPr>
          <w:rFonts w:ascii="Arial" w:hAnsi="Arial" w:cs="Arial"/>
          <w:bCs/>
        </w:rPr>
        <w:t>fr</w:t>
      </w:r>
      <w:proofErr w:type="spellEnd"/>
      <w:r w:rsidRPr="000B30A7">
        <w:rPr>
          <w:rFonts w:ascii="Arial" w:hAnsi="Arial" w:cs="Arial"/>
          <w:bCs/>
        </w:rPr>
        <w:t xml:space="preserve">., 21 juillet 2009, n°324809, </w:t>
      </w:r>
      <w:r w:rsidRPr="000B30A7">
        <w:rPr>
          <w:rFonts w:ascii="Arial" w:hAnsi="Arial" w:cs="Arial"/>
          <w:bCs/>
          <w:i/>
        </w:rPr>
        <w:t>A.J.D.A</w:t>
      </w:r>
      <w:r w:rsidRPr="000B30A7">
        <w:rPr>
          <w:rFonts w:ascii="Arial" w:hAnsi="Arial" w:cs="Arial"/>
          <w:bCs/>
        </w:rPr>
        <w:t xml:space="preserve">., 2009, p. 1463. </w:t>
      </w:r>
      <w:proofErr w:type="spellStart"/>
      <w:r w:rsidRPr="000B30A7">
        <w:rPr>
          <w:rFonts w:ascii="Arial" w:hAnsi="Arial" w:cs="Arial"/>
          <w:bCs/>
        </w:rPr>
        <w:t>Voy</w:t>
      </w:r>
      <w:proofErr w:type="spellEnd"/>
      <w:r w:rsidRPr="000B30A7">
        <w:rPr>
          <w:rFonts w:ascii="Arial" w:hAnsi="Arial" w:cs="Arial"/>
          <w:bCs/>
        </w:rPr>
        <w:t xml:space="preserve">. également l’avis C.E. </w:t>
      </w:r>
      <w:proofErr w:type="spellStart"/>
      <w:proofErr w:type="gramStart"/>
      <w:r w:rsidRPr="000B30A7">
        <w:rPr>
          <w:rFonts w:ascii="Arial" w:hAnsi="Arial" w:cs="Arial"/>
          <w:bCs/>
        </w:rPr>
        <w:t>fr</w:t>
      </w:r>
      <w:proofErr w:type="spellEnd"/>
      <w:r w:rsidRPr="000B30A7">
        <w:rPr>
          <w:rFonts w:ascii="Arial" w:hAnsi="Arial" w:cs="Arial"/>
          <w:bCs/>
        </w:rPr>
        <w:t>.,</w:t>
      </w:r>
      <w:proofErr w:type="gramEnd"/>
      <w:r w:rsidRPr="000B30A7">
        <w:rPr>
          <w:rFonts w:ascii="Arial" w:hAnsi="Arial" w:cs="Arial"/>
          <w:bCs/>
        </w:rPr>
        <w:t xml:space="preserve"> 2 juillet 2010, n°332825, </w:t>
      </w:r>
      <w:r w:rsidRPr="000B30A7">
        <w:rPr>
          <w:rFonts w:ascii="Arial" w:hAnsi="Arial" w:cs="Arial"/>
          <w:bCs/>
          <w:i/>
        </w:rPr>
        <w:t>A.J.D.A</w:t>
      </w:r>
      <w:r w:rsidRPr="000B30A7">
        <w:rPr>
          <w:rFonts w:ascii="Arial" w:hAnsi="Arial" w:cs="Arial"/>
          <w:bCs/>
        </w:rPr>
        <w:t xml:space="preserve">., 2010, p. 1948, note. </w:t>
      </w:r>
    </w:p>
  </w:footnote>
  <w:footnote w:id="6">
    <w:p w:rsidR="009E0B23" w:rsidRPr="000B30A7" w:rsidRDefault="009E0B23" w:rsidP="00F241EB">
      <w:pPr>
        <w:pStyle w:val="Notedebasdepage"/>
        <w:jc w:val="both"/>
        <w:rPr>
          <w:rFonts w:cs="Arial"/>
        </w:rPr>
      </w:pPr>
      <w:r w:rsidRPr="000B30A7">
        <w:rPr>
          <w:rStyle w:val="Appelnotedebasdep"/>
          <w:rFonts w:cs="Arial"/>
        </w:rPr>
        <w:footnoteRef/>
      </w:r>
      <w:r w:rsidRPr="000B30A7">
        <w:rPr>
          <w:rFonts w:cs="Arial"/>
        </w:rPr>
        <w:t xml:space="preserve"> Qu’on trouvera, au sein du Code de la construction et de l’habitation, </w:t>
      </w:r>
      <w:proofErr w:type="gramStart"/>
      <w:r w:rsidRPr="000B30A7">
        <w:rPr>
          <w:rFonts w:cs="Arial"/>
        </w:rPr>
        <w:t>aux art</w:t>
      </w:r>
      <w:proofErr w:type="gramEnd"/>
      <w:r w:rsidRPr="000B30A7">
        <w:rPr>
          <w:rFonts w:cs="Arial"/>
        </w:rPr>
        <w:t xml:space="preserve">. L300-1, L300-2, L301-1, L441-2-3 et L441-2-3-1, ainsi </w:t>
      </w:r>
      <w:proofErr w:type="gramStart"/>
      <w:r w:rsidRPr="000B30A7">
        <w:rPr>
          <w:rFonts w:cs="Arial"/>
        </w:rPr>
        <w:t>qu’aux art</w:t>
      </w:r>
      <w:proofErr w:type="gramEnd"/>
      <w:r w:rsidRPr="000B30A7">
        <w:rPr>
          <w:rFonts w:cs="Arial"/>
        </w:rPr>
        <w:t>. R441-13 à R441-18-5 et R778-1 à R778-8.</w:t>
      </w:r>
    </w:p>
  </w:footnote>
  <w:footnote w:id="7">
    <w:p w:rsidR="009E0B23" w:rsidRPr="000B30A7" w:rsidRDefault="009E0B23" w:rsidP="00F241EB">
      <w:pPr>
        <w:pStyle w:val="Notedebasdepage"/>
        <w:jc w:val="both"/>
        <w:rPr>
          <w:rFonts w:cs="Arial"/>
        </w:rPr>
      </w:pPr>
      <w:r w:rsidRPr="000B30A7">
        <w:rPr>
          <w:rStyle w:val="Appelnotedebasdep"/>
          <w:rFonts w:cs="Arial"/>
        </w:rPr>
        <w:footnoteRef/>
      </w:r>
      <w:r w:rsidRPr="000B30A7">
        <w:rPr>
          <w:rFonts w:cs="Arial"/>
        </w:rPr>
        <w:t xml:space="preserve"> Ce délai ne sera donc pas uniforme à travers la France; il sera déterminé au cas par cas, en fonction notamment du nombre de demandeurs dans le département en attente d'un logement social.</w:t>
      </w:r>
    </w:p>
  </w:footnote>
  <w:footnote w:id="8">
    <w:p w:rsidR="009E0B23" w:rsidRPr="000B30A7" w:rsidRDefault="009E0B23" w:rsidP="00F241EB">
      <w:pPr>
        <w:pStyle w:val="Notedebasdepage"/>
        <w:jc w:val="both"/>
      </w:pPr>
      <w:r w:rsidRPr="000B30A7">
        <w:rPr>
          <w:rStyle w:val="Appelnotedebasdep"/>
        </w:rPr>
        <w:footnoteRef/>
      </w:r>
      <w:r w:rsidRPr="000B30A7">
        <w:t xml:space="preserve"> </w:t>
      </w:r>
      <w:proofErr w:type="spellStart"/>
      <w:r w:rsidRPr="000B30A7">
        <w:t>Voy</w:t>
      </w:r>
      <w:proofErr w:type="spellEnd"/>
      <w:r w:rsidRPr="000B30A7">
        <w:t>., pour le détail de la composition, l’art. L. 441-2-3, II, al. 1er, du Code de la construction et de l'habitation.</w:t>
      </w:r>
    </w:p>
  </w:footnote>
  <w:footnote w:id="9">
    <w:p w:rsidR="009E0B23" w:rsidRPr="000B30A7" w:rsidRDefault="009E0B23" w:rsidP="00F241EB">
      <w:pPr>
        <w:pStyle w:val="Notedebasdepage"/>
        <w:jc w:val="both"/>
        <w:rPr>
          <w:rFonts w:cs="Arial"/>
        </w:rPr>
      </w:pPr>
      <w:r w:rsidRPr="000B30A7">
        <w:rPr>
          <w:rStyle w:val="Appelnotedebasdep"/>
          <w:rFonts w:cs="Arial"/>
        </w:rPr>
        <w:footnoteRef/>
      </w:r>
      <w:r w:rsidRPr="000B30A7">
        <w:rPr>
          <w:rFonts w:cs="Arial"/>
        </w:rPr>
        <w:t xml:space="preserve"> Le critère de la bonne foi s'est imposé aux fins de pouvoir refuser les bienfaits de la loi à ceux qui se seraient mis "intentionnellement" dans une situation de sans-abri.</w:t>
      </w:r>
    </w:p>
  </w:footnote>
  <w:footnote w:id="10">
    <w:p w:rsidR="009E0B23" w:rsidRPr="000B30A7" w:rsidRDefault="009E0B23" w:rsidP="00F241EB">
      <w:pPr>
        <w:pStyle w:val="Notedebasdepage"/>
        <w:jc w:val="both"/>
        <w:rPr>
          <w:rFonts w:cs="Arial"/>
        </w:rPr>
      </w:pPr>
      <w:r w:rsidRPr="000B30A7">
        <w:rPr>
          <w:rStyle w:val="Appelnotedebasdep"/>
          <w:rFonts w:cs="Arial"/>
        </w:rPr>
        <w:footnoteRef/>
      </w:r>
      <w:r w:rsidRPr="000B30A7">
        <w:rPr>
          <w:rFonts w:cs="Arial"/>
        </w:rPr>
        <w:t xml:space="preserve"> </w:t>
      </w:r>
      <w:r w:rsidRPr="000B30A7">
        <w:rPr>
          <w:rFonts w:eastAsia="Times New Roman" w:cs="Arial"/>
        </w:rPr>
        <w:t>En fonction de paramètres tels que la taille et la composition du foyer, l'état de santé, les aptitudes physiques ou les handicaps des membres du ménage, la localisation des lieux de travail, la disponibilité des moyens de transport, la proximité des équipements et services nécessaires à ces personnes, etc.</w:t>
      </w:r>
    </w:p>
  </w:footnote>
  <w:footnote w:id="11">
    <w:p w:rsidR="009E0B23" w:rsidRPr="000B30A7" w:rsidRDefault="009E0B23" w:rsidP="00F241EB">
      <w:pPr>
        <w:pStyle w:val="Notedebasdepage"/>
        <w:jc w:val="both"/>
        <w:rPr>
          <w:rFonts w:cs="Arial"/>
        </w:rPr>
      </w:pPr>
      <w:r w:rsidRPr="000B30A7">
        <w:rPr>
          <w:rStyle w:val="Appelnotedebasdep"/>
          <w:rFonts w:cs="Arial"/>
        </w:rPr>
        <w:footnoteRef/>
      </w:r>
      <w:r w:rsidRPr="000B30A7">
        <w:rPr>
          <w:rFonts w:cs="Arial"/>
        </w:rPr>
        <w:t xml:space="preserve"> Qui avait pour mission d'entreprendre "des actions foncières et immobilières en faveur du logement social".</w:t>
      </w:r>
    </w:p>
  </w:footnote>
  <w:footnote w:id="12">
    <w:p w:rsidR="009E0B23" w:rsidRPr="000B30A7" w:rsidRDefault="009E0B23" w:rsidP="00F241EB">
      <w:pPr>
        <w:pStyle w:val="Notedebasdepage"/>
        <w:jc w:val="both"/>
        <w:rPr>
          <w:rFonts w:cs="Arial"/>
        </w:rPr>
      </w:pPr>
      <w:r w:rsidRPr="000B30A7">
        <w:rPr>
          <w:rStyle w:val="Appelnotedebasdep"/>
          <w:rFonts w:cs="Arial"/>
        </w:rPr>
        <w:footnoteRef/>
      </w:r>
      <w:r w:rsidRPr="000B30A7">
        <w:rPr>
          <w:rFonts w:cs="Arial"/>
        </w:rPr>
        <w:t xml:space="preserve"> </w:t>
      </w:r>
      <w:proofErr w:type="spellStart"/>
      <w:r w:rsidRPr="000B30A7">
        <w:rPr>
          <w:rFonts w:cs="Arial"/>
        </w:rPr>
        <w:t>Voy</w:t>
      </w:r>
      <w:proofErr w:type="spellEnd"/>
      <w:r w:rsidRPr="000B30A7">
        <w:rPr>
          <w:rFonts w:cs="Arial"/>
        </w:rPr>
        <w:t xml:space="preserve">. </w:t>
      </w:r>
      <w:proofErr w:type="gramStart"/>
      <w:r w:rsidRPr="000B30A7">
        <w:rPr>
          <w:rFonts w:cs="Arial"/>
        </w:rPr>
        <w:t>notamment</w:t>
      </w:r>
      <w:proofErr w:type="gramEnd"/>
      <w:r w:rsidRPr="000B30A7">
        <w:rPr>
          <w:rFonts w:cs="Arial"/>
        </w:rPr>
        <w:t xml:space="preserve"> Cour </w:t>
      </w:r>
      <w:proofErr w:type="spellStart"/>
      <w:r w:rsidRPr="000B30A7">
        <w:rPr>
          <w:rFonts w:cs="Arial"/>
        </w:rPr>
        <w:t>eur</w:t>
      </w:r>
      <w:proofErr w:type="spellEnd"/>
      <w:r w:rsidRPr="000B30A7">
        <w:rPr>
          <w:rFonts w:cs="Arial"/>
        </w:rPr>
        <w:t xml:space="preserve">. </w:t>
      </w:r>
      <w:proofErr w:type="spellStart"/>
      <w:r w:rsidRPr="000B30A7">
        <w:rPr>
          <w:rFonts w:cs="Arial"/>
        </w:rPr>
        <w:t>dr</w:t>
      </w:r>
      <w:proofErr w:type="spellEnd"/>
      <w:r w:rsidRPr="000B30A7">
        <w:rPr>
          <w:rFonts w:cs="Arial"/>
        </w:rPr>
        <w:t xml:space="preserve">. </w:t>
      </w:r>
      <w:proofErr w:type="gramStart"/>
      <w:r w:rsidRPr="000B30A7">
        <w:rPr>
          <w:rFonts w:cs="Arial"/>
        </w:rPr>
        <w:t>h.,</w:t>
      </w:r>
      <w:proofErr w:type="gramEnd"/>
      <w:r w:rsidRPr="000B30A7">
        <w:rPr>
          <w:rFonts w:cs="Arial"/>
        </w:rPr>
        <w:t xml:space="preserve"> arrêt </w:t>
      </w:r>
      <w:proofErr w:type="spellStart"/>
      <w:r w:rsidRPr="000B30A7">
        <w:rPr>
          <w:rFonts w:cs="Arial"/>
          <w:i/>
          <w:lang w:eastAsia="en-US"/>
        </w:rPr>
        <w:t>Hornsby</w:t>
      </w:r>
      <w:proofErr w:type="spellEnd"/>
      <w:r w:rsidRPr="000B30A7">
        <w:rPr>
          <w:rFonts w:cs="Arial"/>
          <w:i/>
          <w:lang w:eastAsia="en-US"/>
        </w:rPr>
        <w:t xml:space="preserve"> c. Grèce</w:t>
      </w:r>
      <w:r w:rsidRPr="000B30A7">
        <w:rPr>
          <w:rFonts w:cs="Arial"/>
          <w:lang w:eastAsia="en-US"/>
        </w:rPr>
        <w:t>, 19 mars 1997.</w:t>
      </w:r>
    </w:p>
  </w:footnote>
  <w:footnote w:id="13">
    <w:p w:rsidR="009E0B23" w:rsidRPr="000B30A7" w:rsidRDefault="009E0B23" w:rsidP="00F241EB">
      <w:pPr>
        <w:pStyle w:val="Notedebasdepage"/>
        <w:jc w:val="both"/>
        <w:rPr>
          <w:rFonts w:cs="Arial"/>
        </w:rPr>
      </w:pPr>
      <w:r w:rsidRPr="000B30A7">
        <w:rPr>
          <w:rStyle w:val="Appelnotedebasdep"/>
          <w:rFonts w:cs="Arial"/>
        </w:rPr>
        <w:footnoteRef/>
      </w:r>
      <w:r w:rsidRPr="000B30A7">
        <w:rPr>
          <w:rFonts w:cs="Arial"/>
        </w:rPr>
        <w:t xml:space="preserve"> Cour </w:t>
      </w:r>
      <w:proofErr w:type="spellStart"/>
      <w:r w:rsidRPr="000B30A7">
        <w:rPr>
          <w:rFonts w:cs="Arial"/>
        </w:rPr>
        <w:t>eur</w:t>
      </w:r>
      <w:proofErr w:type="spellEnd"/>
      <w:r w:rsidRPr="000B30A7">
        <w:rPr>
          <w:rFonts w:cs="Arial"/>
        </w:rPr>
        <w:t xml:space="preserve">. </w:t>
      </w:r>
      <w:proofErr w:type="spellStart"/>
      <w:r w:rsidRPr="000B30A7">
        <w:rPr>
          <w:rFonts w:cs="Arial"/>
        </w:rPr>
        <w:t>dr</w:t>
      </w:r>
      <w:proofErr w:type="spellEnd"/>
      <w:r w:rsidRPr="000B30A7">
        <w:rPr>
          <w:rFonts w:cs="Arial"/>
        </w:rPr>
        <w:t xml:space="preserve">. </w:t>
      </w:r>
      <w:proofErr w:type="gramStart"/>
      <w:r w:rsidRPr="000B30A7">
        <w:rPr>
          <w:rFonts w:cs="Arial"/>
        </w:rPr>
        <w:t>h.,</w:t>
      </w:r>
      <w:proofErr w:type="gramEnd"/>
      <w:r w:rsidRPr="000B30A7">
        <w:rPr>
          <w:rFonts w:cs="Arial"/>
        </w:rPr>
        <w:t xml:space="preserve"> arrêt </w:t>
      </w:r>
      <w:proofErr w:type="spellStart"/>
      <w:r w:rsidRPr="000B30A7">
        <w:rPr>
          <w:rFonts w:cs="Arial"/>
          <w:i/>
          <w:lang w:eastAsia="en-US"/>
        </w:rPr>
        <w:t>Cofinfo</w:t>
      </w:r>
      <w:proofErr w:type="spellEnd"/>
      <w:r w:rsidRPr="000B30A7">
        <w:rPr>
          <w:rFonts w:cs="Arial"/>
          <w:i/>
          <w:lang w:eastAsia="en-US"/>
        </w:rPr>
        <w:t xml:space="preserve"> c. France</w:t>
      </w:r>
      <w:r w:rsidRPr="000B30A7">
        <w:rPr>
          <w:rFonts w:cs="Arial"/>
          <w:lang w:eastAsia="en-US"/>
        </w:rPr>
        <w:t>, 12 octobre 2010 (rec.) :</w:t>
      </w:r>
      <w:r w:rsidRPr="000B30A7">
        <w:rPr>
          <w:rFonts w:cs="Arial"/>
          <w:lang w:bidi="fr-FR"/>
        </w:rPr>
        <w:t xml:space="preserve"> « Ce droit [à un tribunal] serait illusoire si l'ordre juridique interne d'un Etat contractant permettait qu'une décision judiciaire définitive et obligatoire reste inopérante au détriment d'une partie. En effet, on ne comprendrait pas que l'article 6, §1</w:t>
      </w:r>
      <w:r w:rsidRPr="000B30A7">
        <w:rPr>
          <w:rFonts w:cs="Arial"/>
          <w:vertAlign w:val="superscript"/>
          <w:lang w:bidi="fr-FR"/>
        </w:rPr>
        <w:t>er</w:t>
      </w:r>
      <w:r w:rsidRPr="000B30A7">
        <w:rPr>
          <w:rFonts w:cs="Arial"/>
          <w:lang w:bidi="fr-FR"/>
        </w:rPr>
        <w:t xml:space="preserve">, décrive en détail les garanties de procédure — équité, publicité et célérité — accordées aux parties et qu'il ne protège pas la mise en </w:t>
      </w:r>
      <w:proofErr w:type="spellStart"/>
      <w:r w:rsidRPr="000B30A7">
        <w:rPr>
          <w:rFonts w:cs="Arial"/>
          <w:lang w:bidi="fr-FR"/>
        </w:rPr>
        <w:t>oeuvre</w:t>
      </w:r>
      <w:proofErr w:type="spellEnd"/>
      <w:r w:rsidRPr="000B30A7">
        <w:rPr>
          <w:rFonts w:cs="Arial"/>
          <w:lang w:bidi="fr-FR"/>
        </w:rPr>
        <w:t xml:space="preserve"> des décisions judiciaires; si cet article devait passer pour concerner exclusivement l'accès au juge et le déroulement de l'instance, cela risquerait de créer des situations incompatibles avec le principe de la prééminence du droit que les Etats contractants se sont engagés à respecter en ratifiant la Convention. L'exécution d'un jugement ou arrêt, de quelque juridiction que ce soit, doit donc être considérée comme faisant partie intégrante du "procès" au sens de l'article 6 ».</w:t>
      </w:r>
    </w:p>
  </w:footnote>
  <w:footnote w:id="14">
    <w:p w:rsidR="009E0B23" w:rsidRPr="000B30A7" w:rsidRDefault="009E0B23" w:rsidP="00F241EB">
      <w:pPr>
        <w:pStyle w:val="Notedebasdepage"/>
        <w:jc w:val="both"/>
        <w:rPr>
          <w:rFonts w:cs="Arial"/>
        </w:rPr>
      </w:pPr>
      <w:r w:rsidRPr="000B30A7">
        <w:rPr>
          <w:rStyle w:val="Appelnotedebasdep"/>
          <w:rFonts w:cs="Arial"/>
        </w:rPr>
        <w:footnoteRef/>
      </w:r>
      <w:r w:rsidRPr="000B30A7">
        <w:rPr>
          <w:rFonts w:cs="Arial"/>
        </w:rPr>
        <w:t xml:space="preserve"> Près de cinq ans même, si l’on remonte au moment où la commission de médiation a désigné Madame </w:t>
      </w:r>
      <w:proofErr w:type="spellStart"/>
      <w:r w:rsidRPr="000B30A7">
        <w:rPr>
          <w:rFonts w:cs="Arial"/>
        </w:rPr>
        <w:t>Tchokontio</w:t>
      </w:r>
      <w:proofErr w:type="spellEnd"/>
      <w:r w:rsidRPr="000B30A7">
        <w:rPr>
          <w:rFonts w:cs="Arial"/>
        </w:rPr>
        <w:t xml:space="preserve"> </w:t>
      </w:r>
      <w:proofErr w:type="spellStart"/>
      <w:r w:rsidRPr="000B30A7">
        <w:rPr>
          <w:rFonts w:cs="Arial"/>
        </w:rPr>
        <w:t>Happi</w:t>
      </w:r>
      <w:proofErr w:type="spellEnd"/>
      <w:r w:rsidRPr="000B30A7">
        <w:rPr>
          <w:rFonts w:cs="Arial"/>
        </w:rPr>
        <w:t xml:space="preserve"> comme prioritaire.</w:t>
      </w:r>
    </w:p>
  </w:footnote>
  <w:footnote w:id="15">
    <w:p w:rsidR="009E0B23" w:rsidRPr="000B30A7" w:rsidRDefault="009E0B23" w:rsidP="00F241EB">
      <w:pPr>
        <w:pStyle w:val="Notedebasdepage"/>
        <w:jc w:val="both"/>
        <w:rPr>
          <w:rFonts w:cs="Arial"/>
        </w:rPr>
      </w:pPr>
      <w:r w:rsidRPr="000B30A7">
        <w:rPr>
          <w:rStyle w:val="Appelnotedebasdep"/>
          <w:rFonts w:cs="Arial"/>
        </w:rPr>
        <w:footnoteRef/>
      </w:r>
      <w:r w:rsidRPr="000B30A7">
        <w:rPr>
          <w:rFonts w:cs="Arial"/>
        </w:rPr>
        <w:t xml:space="preserve"> Pour exercer son « droit de réservation » dans le parc H.L.M., le préfet de Paris et d’Île de France ne dispose en effet que de 1.300 logements par an environ, alors que le nombre de ménages déclarés prioritaires par la commission de médiation culmine à 18.000 ! Soit près de quinze fois plus…</w:t>
      </w:r>
    </w:p>
  </w:footnote>
  <w:footnote w:id="16">
    <w:p w:rsidR="009E0B23" w:rsidRPr="000B30A7" w:rsidRDefault="009E0B23" w:rsidP="00F241EB">
      <w:pPr>
        <w:pStyle w:val="Notedebasdepage"/>
        <w:jc w:val="both"/>
        <w:rPr>
          <w:rFonts w:cs="Arial"/>
        </w:rPr>
      </w:pPr>
      <w:r w:rsidRPr="000B30A7">
        <w:rPr>
          <w:rStyle w:val="Appelnotedebasdep"/>
          <w:rFonts w:cs="Arial"/>
        </w:rPr>
        <w:footnoteRef/>
      </w:r>
      <w:r w:rsidRPr="000B30A7">
        <w:rPr>
          <w:rFonts w:cs="Arial"/>
        </w:rPr>
        <w:t xml:space="preserve"> </w:t>
      </w:r>
      <w:r w:rsidRPr="000B30A7">
        <w:rPr>
          <w:rFonts w:cs="Arial"/>
          <w:i/>
        </w:rPr>
        <w:t xml:space="preserve">Cf. </w:t>
      </w:r>
      <w:r w:rsidRPr="000B30A7">
        <w:rPr>
          <w:rFonts w:cs="Arial"/>
        </w:rPr>
        <w:t>entre autres</w:t>
      </w:r>
      <w:r w:rsidRPr="000B30A7">
        <w:rPr>
          <w:rFonts w:cs="Arial"/>
          <w:i/>
        </w:rPr>
        <w:t xml:space="preserve"> </w:t>
      </w:r>
      <w:r w:rsidRPr="000B30A7">
        <w:rPr>
          <w:rFonts w:cs="Arial"/>
        </w:rPr>
        <w:t xml:space="preserve">Cour </w:t>
      </w:r>
      <w:proofErr w:type="spellStart"/>
      <w:r w:rsidRPr="000B30A7">
        <w:rPr>
          <w:rFonts w:cs="Arial"/>
        </w:rPr>
        <w:t>eur</w:t>
      </w:r>
      <w:proofErr w:type="spellEnd"/>
      <w:r w:rsidRPr="000B30A7">
        <w:rPr>
          <w:rFonts w:cs="Arial"/>
        </w:rPr>
        <w:t xml:space="preserve">. </w:t>
      </w:r>
      <w:proofErr w:type="spellStart"/>
      <w:r w:rsidRPr="000B30A7">
        <w:rPr>
          <w:rFonts w:cs="Arial"/>
        </w:rPr>
        <w:t>dr</w:t>
      </w:r>
      <w:proofErr w:type="spellEnd"/>
      <w:r w:rsidRPr="000B30A7">
        <w:rPr>
          <w:rFonts w:cs="Arial"/>
        </w:rPr>
        <w:t xml:space="preserve">. </w:t>
      </w:r>
      <w:proofErr w:type="gramStart"/>
      <w:r w:rsidRPr="000B30A7">
        <w:rPr>
          <w:rFonts w:cs="Arial"/>
        </w:rPr>
        <w:t>h.,</w:t>
      </w:r>
      <w:proofErr w:type="gramEnd"/>
      <w:r w:rsidRPr="000B30A7">
        <w:rPr>
          <w:rFonts w:cs="Arial"/>
        </w:rPr>
        <w:t xml:space="preserve"> arrêt </w:t>
      </w:r>
      <w:proofErr w:type="spellStart"/>
      <w:r w:rsidRPr="000B30A7">
        <w:rPr>
          <w:rFonts w:cs="Arial"/>
          <w:i/>
        </w:rPr>
        <w:t>Prodan</w:t>
      </w:r>
      <w:proofErr w:type="spellEnd"/>
      <w:r w:rsidRPr="000B30A7">
        <w:rPr>
          <w:rFonts w:cs="Arial"/>
          <w:i/>
        </w:rPr>
        <w:t xml:space="preserve"> c. Moldova</w:t>
      </w:r>
      <w:r w:rsidRPr="000B30A7">
        <w:rPr>
          <w:rFonts w:cs="Arial"/>
        </w:rPr>
        <w:t xml:space="preserve">,18 mai 2004, </w:t>
      </w:r>
      <w:r w:rsidRPr="000B30A7">
        <w:rPr>
          <w:rFonts w:cs="Arial"/>
          <w:lang w:eastAsia="en-US"/>
        </w:rPr>
        <w:t xml:space="preserve">§53 et </w:t>
      </w:r>
      <w:r w:rsidRPr="000B30A7">
        <w:rPr>
          <w:rFonts w:cs="Arial"/>
        </w:rPr>
        <w:t xml:space="preserve">Cour </w:t>
      </w:r>
      <w:proofErr w:type="spellStart"/>
      <w:r w:rsidRPr="000B30A7">
        <w:rPr>
          <w:rFonts w:cs="Arial"/>
        </w:rPr>
        <w:t>eur</w:t>
      </w:r>
      <w:proofErr w:type="spellEnd"/>
      <w:r w:rsidRPr="000B30A7">
        <w:rPr>
          <w:rFonts w:cs="Arial"/>
        </w:rPr>
        <w:t xml:space="preserve">. </w:t>
      </w:r>
      <w:proofErr w:type="spellStart"/>
      <w:r w:rsidRPr="000B30A7">
        <w:rPr>
          <w:rFonts w:cs="Arial"/>
        </w:rPr>
        <w:t>dr</w:t>
      </w:r>
      <w:proofErr w:type="spellEnd"/>
      <w:r w:rsidRPr="000B30A7">
        <w:rPr>
          <w:rFonts w:cs="Arial"/>
        </w:rPr>
        <w:t xml:space="preserve">. </w:t>
      </w:r>
      <w:proofErr w:type="gramStart"/>
      <w:r w:rsidRPr="000B30A7">
        <w:rPr>
          <w:rFonts w:cs="Arial"/>
        </w:rPr>
        <w:t>h.,</w:t>
      </w:r>
      <w:proofErr w:type="gramEnd"/>
      <w:r w:rsidRPr="000B30A7">
        <w:rPr>
          <w:rFonts w:cs="Arial"/>
        </w:rPr>
        <w:t xml:space="preserve"> arrêt </w:t>
      </w:r>
      <w:proofErr w:type="spellStart"/>
      <w:r w:rsidRPr="000B30A7">
        <w:rPr>
          <w:rFonts w:cs="Arial"/>
          <w:i/>
        </w:rPr>
        <w:t>Kukalo</w:t>
      </w:r>
      <w:proofErr w:type="spellEnd"/>
      <w:r w:rsidRPr="000B30A7">
        <w:rPr>
          <w:rFonts w:cs="Arial"/>
          <w:i/>
        </w:rPr>
        <w:t xml:space="preserve"> c. Russie</w:t>
      </w:r>
      <w:r w:rsidRPr="000B30A7">
        <w:rPr>
          <w:rFonts w:cs="Arial"/>
        </w:rPr>
        <w:t xml:space="preserve">, 3 novembre 2005, </w:t>
      </w:r>
      <w:r w:rsidRPr="000B30A7">
        <w:rPr>
          <w:rFonts w:cs="Arial"/>
          <w:lang w:eastAsia="en-US"/>
        </w:rPr>
        <w:t>§49.</w:t>
      </w:r>
    </w:p>
  </w:footnote>
  <w:footnote w:id="17">
    <w:p w:rsidR="009E0B23" w:rsidRPr="000B30A7" w:rsidRDefault="009E0B23" w:rsidP="00F241EB">
      <w:pPr>
        <w:pStyle w:val="Notedebasdepage"/>
        <w:jc w:val="both"/>
      </w:pPr>
      <w:r w:rsidRPr="000B30A7">
        <w:rPr>
          <w:rStyle w:val="Appelnotedebasdep"/>
        </w:rPr>
        <w:footnoteRef/>
      </w:r>
      <w:r w:rsidRPr="000B30A7">
        <w:t xml:space="preserve"> </w:t>
      </w:r>
      <w:r w:rsidR="00F241EB" w:rsidRPr="000B30A7">
        <w:t>Strasbourg avait jugé attentatoire au droit au respect de la vie privée et familiale et au respect du domicile (art. 8 de la Convention) l’expulsion de gens du voyage de terrains privés qu’ils occupaient depuis des années.</w:t>
      </w:r>
    </w:p>
  </w:footnote>
  <w:footnote w:id="18">
    <w:p w:rsidR="009E0B23" w:rsidRPr="000B30A7" w:rsidRDefault="009E0B23" w:rsidP="00F241EB">
      <w:pPr>
        <w:pStyle w:val="Notedebasdepage"/>
        <w:jc w:val="both"/>
      </w:pPr>
      <w:r w:rsidRPr="000B30A7">
        <w:rPr>
          <w:rStyle w:val="Appelnotedebasdep"/>
        </w:rPr>
        <w:footnoteRef/>
      </w:r>
      <w:r w:rsidRPr="000B30A7">
        <w:t xml:space="preserve"> </w:t>
      </w:r>
      <w:proofErr w:type="spellStart"/>
      <w:r w:rsidRPr="000B30A7">
        <w:t>Voy</w:t>
      </w:r>
      <w:proofErr w:type="spellEnd"/>
      <w:r w:rsidRPr="000B30A7">
        <w:t xml:space="preserve">. </w:t>
      </w:r>
      <w:proofErr w:type="gramStart"/>
      <w:r w:rsidRPr="000B30A7">
        <w:t>par</w:t>
      </w:r>
      <w:proofErr w:type="gramEnd"/>
      <w:r w:rsidRPr="000B30A7">
        <w:t xml:space="preserve"> exemple le récent arrêt </w:t>
      </w:r>
      <w:r w:rsidRPr="000B30A7">
        <w:rPr>
          <w:rFonts w:cs="Arial"/>
          <w:i/>
        </w:rPr>
        <w:t>V.M.</w:t>
      </w:r>
      <w:r w:rsidRPr="000B30A7">
        <w:rPr>
          <w:rFonts w:cs="Arial"/>
        </w:rPr>
        <w:t xml:space="preserve"> </w:t>
      </w:r>
      <w:r w:rsidRPr="000B30A7">
        <w:rPr>
          <w:rFonts w:cs="Arial"/>
          <w:i/>
        </w:rPr>
        <w:t xml:space="preserve">et autres contre Belgique </w:t>
      </w:r>
      <w:r w:rsidRPr="000B30A7">
        <w:rPr>
          <w:rFonts w:cs="Arial"/>
        </w:rPr>
        <w:t>du 7 juillet 2015 ; l’affaire, cependant, a été portée devant la Grande chambre.</w:t>
      </w:r>
    </w:p>
  </w:footnote>
  <w:footnote w:id="19">
    <w:p w:rsidR="009E0B23" w:rsidRPr="000B30A7" w:rsidRDefault="009E0B23" w:rsidP="00F241EB">
      <w:pPr>
        <w:pStyle w:val="Notedebasdepage"/>
        <w:jc w:val="both"/>
        <w:rPr>
          <w:rFonts w:cs="Arial"/>
        </w:rPr>
      </w:pPr>
      <w:r w:rsidRPr="000B30A7">
        <w:rPr>
          <w:rStyle w:val="Appelnotedebasdep"/>
          <w:rFonts w:cs="Arial"/>
        </w:rPr>
        <w:footnoteRef/>
      </w:r>
      <w:r w:rsidRPr="000B30A7">
        <w:rPr>
          <w:rFonts w:cs="Arial"/>
        </w:rPr>
        <w:t xml:space="preserve"> </w:t>
      </w:r>
      <w:proofErr w:type="spellStart"/>
      <w:r w:rsidRPr="000B30A7">
        <w:rPr>
          <w:rFonts w:cs="Arial"/>
        </w:rPr>
        <w:t>Voy</w:t>
      </w:r>
      <w:proofErr w:type="spellEnd"/>
      <w:r w:rsidRPr="000B30A7">
        <w:rPr>
          <w:rFonts w:cs="Arial"/>
        </w:rPr>
        <w:t xml:space="preserve">. </w:t>
      </w:r>
      <w:proofErr w:type="gramStart"/>
      <w:r w:rsidRPr="000B30A7">
        <w:rPr>
          <w:rFonts w:cs="Arial"/>
        </w:rPr>
        <w:t>pour</w:t>
      </w:r>
      <w:proofErr w:type="gramEnd"/>
      <w:r w:rsidRPr="000B30A7">
        <w:rPr>
          <w:rFonts w:cs="Arial"/>
        </w:rPr>
        <w:t xml:space="preserve"> de plus amples développements N. BERNARD, "Pas d'expulsion de logement sans contrôle juridictionnel préalable. La Cour européenne des droits de l'homme et le droit au logement", note sous Cour </w:t>
      </w:r>
      <w:proofErr w:type="spellStart"/>
      <w:r w:rsidRPr="000B30A7">
        <w:rPr>
          <w:rFonts w:cs="Arial"/>
        </w:rPr>
        <w:t>eur</w:t>
      </w:r>
      <w:proofErr w:type="spellEnd"/>
      <w:r w:rsidRPr="000B30A7">
        <w:rPr>
          <w:rFonts w:cs="Arial"/>
        </w:rPr>
        <w:t xml:space="preserve">. </w:t>
      </w:r>
      <w:proofErr w:type="spellStart"/>
      <w:r w:rsidRPr="000B30A7">
        <w:rPr>
          <w:rFonts w:cs="Arial"/>
        </w:rPr>
        <w:t>dr</w:t>
      </w:r>
      <w:proofErr w:type="spellEnd"/>
      <w:r w:rsidRPr="000B30A7">
        <w:rPr>
          <w:rFonts w:cs="Arial"/>
        </w:rPr>
        <w:t xml:space="preserve">. </w:t>
      </w:r>
      <w:proofErr w:type="gramStart"/>
      <w:r w:rsidRPr="000B30A7">
        <w:rPr>
          <w:rFonts w:cs="Arial"/>
        </w:rPr>
        <w:t>h.,</w:t>
      </w:r>
      <w:proofErr w:type="gramEnd"/>
      <w:r w:rsidRPr="000B30A7">
        <w:rPr>
          <w:rFonts w:cs="Arial"/>
        </w:rPr>
        <w:t xml:space="preserve"> 13 mai 2008, </w:t>
      </w:r>
      <w:r w:rsidRPr="000B30A7">
        <w:rPr>
          <w:rFonts w:cs="Arial"/>
          <w:i/>
        </w:rPr>
        <w:t xml:space="preserve">Mc </w:t>
      </w:r>
      <w:proofErr w:type="spellStart"/>
      <w:r w:rsidRPr="000B30A7">
        <w:rPr>
          <w:rFonts w:cs="Arial"/>
          <w:i/>
        </w:rPr>
        <w:t>Cann</w:t>
      </w:r>
      <w:proofErr w:type="spellEnd"/>
      <w:r w:rsidRPr="000B30A7">
        <w:rPr>
          <w:rFonts w:cs="Arial"/>
          <w:i/>
        </w:rPr>
        <w:t xml:space="preserve"> c. Royaume-Uni</w:t>
      </w:r>
      <w:r w:rsidRPr="000B30A7">
        <w:rPr>
          <w:rFonts w:cs="Arial"/>
        </w:rPr>
        <w:t xml:space="preserve">, </w:t>
      </w:r>
      <w:proofErr w:type="spellStart"/>
      <w:r w:rsidRPr="000B30A7">
        <w:rPr>
          <w:rFonts w:cs="Arial"/>
          <w:i/>
        </w:rPr>
        <w:t>Rev</w:t>
      </w:r>
      <w:proofErr w:type="spellEnd"/>
      <w:r w:rsidRPr="000B30A7">
        <w:rPr>
          <w:rFonts w:cs="Arial"/>
          <w:i/>
        </w:rPr>
        <w:t xml:space="preserve">. </w:t>
      </w:r>
      <w:proofErr w:type="gramStart"/>
      <w:r w:rsidRPr="000B30A7">
        <w:rPr>
          <w:rFonts w:cs="Arial"/>
          <w:i/>
        </w:rPr>
        <w:t>trim</w:t>
      </w:r>
      <w:proofErr w:type="gramEnd"/>
      <w:r w:rsidRPr="000B30A7">
        <w:rPr>
          <w:rFonts w:cs="Arial"/>
          <w:i/>
        </w:rPr>
        <w:t xml:space="preserve">. </w:t>
      </w:r>
      <w:proofErr w:type="spellStart"/>
      <w:proofErr w:type="gramStart"/>
      <w:r w:rsidRPr="000B30A7">
        <w:rPr>
          <w:rFonts w:cs="Arial"/>
          <w:i/>
        </w:rPr>
        <w:t>dr</w:t>
      </w:r>
      <w:proofErr w:type="spellEnd"/>
      <w:proofErr w:type="gramEnd"/>
      <w:r w:rsidRPr="000B30A7">
        <w:rPr>
          <w:rFonts w:cs="Arial"/>
          <w:i/>
        </w:rPr>
        <w:t xml:space="preserve">. h., </w:t>
      </w:r>
      <w:r w:rsidRPr="000B30A7">
        <w:rPr>
          <w:rFonts w:cs="Arial"/>
        </w:rPr>
        <w:t xml:space="preserve"> 2009, p. 527 et s.</w:t>
      </w:r>
    </w:p>
  </w:footnote>
  <w:footnote w:id="20">
    <w:p w:rsidR="009E0B23" w:rsidRPr="000B30A7" w:rsidRDefault="009E0B23" w:rsidP="00F241EB">
      <w:pPr>
        <w:pStyle w:val="Notedebasdepage"/>
        <w:jc w:val="both"/>
        <w:rPr>
          <w:rFonts w:cs="Arial"/>
        </w:rPr>
      </w:pPr>
      <w:r w:rsidRPr="000B30A7">
        <w:rPr>
          <w:rStyle w:val="Appelnotedebasdep"/>
          <w:rFonts w:cs="Arial"/>
        </w:rPr>
        <w:footnoteRef/>
      </w:r>
      <w:r w:rsidRPr="000B30A7">
        <w:rPr>
          <w:rFonts w:cs="Arial"/>
        </w:rPr>
        <w:t xml:space="preserve"> Cour </w:t>
      </w:r>
      <w:proofErr w:type="spellStart"/>
      <w:r w:rsidRPr="000B30A7">
        <w:rPr>
          <w:rFonts w:cs="Arial"/>
        </w:rPr>
        <w:t>eur</w:t>
      </w:r>
      <w:proofErr w:type="spellEnd"/>
      <w:r w:rsidRPr="000B30A7">
        <w:rPr>
          <w:rFonts w:cs="Arial"/>
        </w:rPr>
        <w:t xml:space="preserve">. </w:t>
      </w:r>
      <w:proofErr w:type="spellStart"/>
      <w:r w:rsidRPr="000B30A7">
        <w:rPr>
          <w:rFonts w:cs="Arial"/>
        </w:rPr>
        <w:t>dr</w:t>
      </w:r>
      <w:proofErr w:type="spellEnd"/>
      <w:r w:rsidRPr="000B30A7">
        <w:rPr>
          <w:rFonts w:cs="Arial"/>
        </w:rPr>
        <w:t xml:space="preserve">. </w:t>
      </w:r>
      <w:proofErr w:type="gramStart"/>
      <w:r w:rsidRPr="000B30A7">
        <w:rPr>
          <w:rFonts w:cs="Arial"/>
        </w:rPr>
        <w:t>h.,</w:t>
      </w:r>
      <w:proofErr w:type="gramEnd"/>
      <w:r w:rsidRPr="000B30A7">
        <w:rPr>
          <w:rFonts w:cs="Arial"/>
        </w:rPr>
        <w:t xml:space="preserve"> arrêt </w:t>
      </w:r>
      <w:proofErr w:type="spellStart"/>
      <w:r w:rsidRPr="000B30A7">
        <w:rPr>
          <w:rFonts w:cs="Arial"/>
          <w:i/>
        </w:rPr>
        <w:t>Broniowski</w:t>
      </w:r>
      <w:proofErr w:type="spellEnd"/>
      <w:r w:rsidRPr="000B30A7">
        <w:rPr>
          <w:rFonts w:cs="Arial"/>
          <w:i/>
        </w:rPr>
        <w:t xml:space="preserve"> c. Pologne </w:t>
      </w:r>
      <w:r w:rsidRPr="000B30A7">
        <w:rPr>
          <w:rFonts w:cs="Arial"/>
        </w:rPr>
        <w:t>[GC], 22 juin 2004, §129.</w:t>
      </w:r>
    </w:p>
  </w:footnote>
  <w:footnote w:id="21">
    <w:p w:rsidR="009E0B23" w:rsidRPr="000B30A7" w:rsidRDefault="009E0B23" w:rsidP="00F241EB">
      <w:pPr>
        <w:pStyle w:val="Notedebasdepage"/>
        <w:jc w:val="both"/>
        <w:rPr>
          <w:rFonts w:cs="Arial"/>
        </w:rPr>
      </w:pPr>
      <w:r w:rsidRPr="000B30A7">
        <w:rPr>
          <w:rStyle w:val="Appelnotedebasdep"/>
          <w:rFonts w:cs="Arial"/>
        </w:rPr>
        <w:footnoteRef/>
      </w:r>
      <w:r w:rsidRPr="000B30A7">
        <w:rPr>
          <w:rFonts w:cs="Arial"/>
        </w:rPr>
        <w:t xml:space="preserve"> Cour </w:t>
      </w:r>
      <w:proofErr w:type="spellStart"/>
      <w:r w:rsidRPr="000B30A7">
        <w:rPr>
          <w:rFonts w:cs="Arial"/>
        </w:rPr>
        <w:t>eur</w:t>
      </w:r>
      <w:proofErr w:type="spellEnd"/>
      <w:r w:rsidRPr="000B30A7">
        <w:rPr>
          <w:rFonts w:cs="Arial"/>
        </w:rPr>
        <w:t xml:space="preserve">. </w:t>
      </w:r>
      <w:proofErr w:type="spellStart"/>
      <w:r w:rsidRPr="000B30A7">
        <w:rPr>
          <w:rFonts w:cs="Arial"/>
        </w:rPr>
        <w:t>dr</w:t>
      </w:r>
      <w:proofErr w:type="spellEnd"/>
      <w:r w:rsidRPr="000B30A7">
        <w:rPr>
          <w:rFonts w:cs="Arial"/>
        </w:rPr>
        <w:t xml:space="preserve">. </w:t>
      </w:r>
      <w:proofErr w:type="gramStart"/>
      <w:r w:rsidRPr="000B30A7">
        <w:rPr>
          <w:rFonts w:cs="Arial"/>
        </w:rPr>
        <w:t>h.,</w:t>
      </w:r>
      <w:proofErr w:type="gramEnd"/>
      <w:r w:rsidRPr="000B30A7">
        <w:rPr>
          <w:rFonts w:cs="Arial"/>
        </w:rPr>
        <w:t xml:space="preserve"> arrêt </w:t>
      </w:r>
      <w:proofErr w:type="spellStart"/>
      <w:r w:rsidRPr="000B30A7">
        <w:rPr>
          <w:rFonts w:cs="Arial"/>
          <w:i/>
        </w:rPr>
        <w:t>Iatridis</w:t>
      </w:r>
      <w:proofErr w:type="spellEnd"/>
      <w:r w:rsidRPr="000B30A7">
        <w:rPr>
          <w:rFonts w:cs="Arial"/>
          <w:i/>
        </w:rPr>
        <w:t xml:space="preserve"> c. Grèce</w:t>
      </w:r>
      <w:r w:rsidRPr="000B30A7">
        <w:rPr>
          <w:rFonts w:cs="Arial"/>
        </w:rPr>
        <w:t xml:space="preserve">, 25 mars 1999, </w:t>
      </w:r>
      <w:r w:rsidRPr="000B30A7">
        <w:rPr>
          <w:rFonts w:cs="Arial"/>
          <w:lang w:eastAsia="en-US"/>
        </w:rPr>
        <w:t>§54.</w:t>
      </w:r>
    </w:p>
  </w:footnote>
  <w:footnote w:id="22">
    <w:p w:rsidR="009E0B23" w:rsidRPr="000B30A7" w:rsidRDefault="009E0B23" w:rsidP="00F241EB">
      <w:pPr>
        <w:pStyle w:val="Notedebasdepage"/>
        <w:jc w:val="both"/>
        <w:rPr>
          <w:rFonts w:cs="Arial"/>
        </w:rPr>
      </w:pPr>
      <w:r w:rsidRPr="000B30A7">
        <w:rPr>
          <w:rStyle w:val="Appelnotedebasdep"/>
          <w:rFonts w:cs="Arial"/>
        </w:rPr>
        <w:footnoteRef/>
      </w:r>
      <w:r w:rsidRPr="000B30A7">
        <w:rPr>
          <w:rFonts w:cs="Arial"/>
        </w:rPr>
        <w:t xml:space="preserve"> Cour </w:t>
      </w:r>
      <w:proofErr w:type="spellStart"/>
      <w:r w:rsidRPr="000B30A7">
        <w:rPr>
          <w:rFonts w:cs="Arial"/>
        </w:rPr>
        <w:t>eur</w:t>
      </w:r>
      <w:proofErr w:type="spellEnd"/>
      <w:r w:rsidRPr="000B30A7">
        <w:rPr>
          <w:rFonts w:cs="Arial"/>
        </w:rPr>
        <w:t xml:space="preserve">. </w:t>
      </w:r>
      <w:proofErr w:type="spellStart"/>
      <w:r w:rsidRPr="000B30A7">
        <w:rPr>
          <w:rFonts w:cs="Arial"/>
        </w:rPr>
        <w:t>dr</w:t>
      </w:r>
      <w:proofErr w:type="spellEnd"/>
      <w:r w:rsidRPr="000B30A7">
        <w:rPr>
          <w:rFonts w:cs="Arial"/>
        </w:rPr>
        <w:t xml:space="preserve">. </w:t>
      </w:r>
      <w:proofErr w:type="gramStart"/>
      <w:r w:rsidRPr="000B30A7">
        <w:rPr>
          <w:rFonts w:cs="Arial"/>
        </w:rPr>
        <w:t>h.,</w:t>
      </w:r>
      <w:proofErr w:type="gramEnd"/>
      <w:r w:rsidRPr="000B30A7">
        <w:rPr>
          <w:rFonts w:cs="Arial"/>
        </w:rPr>
        <w:t xml:space="preserve"> </w:t>
      </w:r>
      <w:proofErr w:type="spellStart"/>
      <w:r w:rsidRPr="000B30A7">
        <w:rPr>
          <w:rFonts w:cs="Arial"/>
          <w:i/>
        </w:rPr>
        <w:t>Öneryildiz</w:t>
      </w:r>
      <w:proofErr w:type="spellEnd"/>
      <w:r w:rsidRPr="000B30A7">
        <w:rPr>
          <w:rFonts w:cs="Arial"/>
          <w:i/>
        </w:rPr>
        <w:t xml:space="preserve"> c. Turquie</w:t>
      </w:r>
      <w:r w:rsidRPr="000B30A7">
        <w:rPr>
          <w:rFonts w:cs="Arial"/>
        </w:rPr>
        <w:t xml:space="preserve"> [GC], 30 novembre 2004, §126 et 127. Le requérant, dans cette affaire, avait vu son habitation — construite illégalement sur une décharge — soufflée par une explosion causée par la négligence des autorités. La Cour a reconnu que l'intéressé n’était propriétaire ni de son habitation ni du terrain et qu’il ne pouvait, du reste, se targuer d'aucune espérance légitime de se voir céder le terrain (et encore moins d'une créance certaine). La Cour, toutefois, est amenée à constater "une tolérance des autorités de l’État face aux actions des requérants", ce qui lui a permis "de juger que les autorités ont </w:t>
      </w:r>
      <w:r w:rsidRPr="000B30A7">
        <w:rPr>
          <w:rFonts w:cs="Arial"/>
          <w:i/>
        </w:rPr>
        <w:t>de facto</w:t>
      </w:r>
      <w:r w:rsidRPr="000B30A7">
        <w:rPr>
          <w:rFonts w:cs="Arial"/>
        </w:rPr>
        <w:t xml:space="preserve"> reconnu que l’intéressé et ses proches avaient un intérêt patrimonial tenant à leurs habitations et à leurs biens meubles"</w:t>
      </w:r>
    </w:p>
  </w:footnote>
  <w:footnote w:id="23">
    <w:p w:rsidR="009E0B23" w:rsidRPr="000B30A7" w:rsidRDefault="009E0B23" w:rsidP="00F241EB">
      <w:pPr>
        <w:pStyle w:val="Notedebasdepage"/>
        <w:jc w:val="both"/>
      </w:pPr>
      <w:r w:rsidRPr="000B30A7">
        <w:rPr>
          <w:rStyle w:val="Appelnotedebasdep"/>
        </w:rPr>
        <w:footnoteRef/>
      </w:r>
      <w:r w:rsidRPr="000B30A7">
        <w:t xml:space="preserve"> </w:t>
      </w:r>
      <w:proofErr w:type="spellStart"/>
      <w:r w:rsidRPr="000B30A7">
        <w:t>Voy</w:t>
      </w:r>
      <w:proofErr w:type="spellEnd"/>
      <w:r w:rsidRPr="000B30A7">
        <w:t xml:space="preserve">. </w:t>
      </w:r>
      <w:proofErr w:type="gramStart"/>
      <w:r w:rsidRPr="000B30A7">
        <w:t>également</w:t>
      </w:r>
      <w:proofErr w:type="gramEnd"/>
      <w:r w:rsidRPr="000B30A7">
        <w:t xml:space="preserve">, depuis, les arrêts </w:t>
      </w:r>
      <w:proofErr w:type="spellStart"/>
      <w:r w:rsidRPr="000B30A7">
        <w:rPr>
          <w:rFonts w:cs="Arial"/>
          <w:i/>
        </w:rPr>
        <w:t>Ilyushkin</w:t>
      </w:r>
      <w:proofErr w:type="spellEnd"/>
      <w:r w:rsidRPr="000B30A7">
        <w:rPr>
          <w:rFonts w:cs="Arial"/>
          <w:i/>
        </w:rPr>
        <w:t xml:space="preserve"> et autres c. Russie </w:t>
      </w:r>
      <w:r w:rsidRPr="000B30A7">
        <w:rPr>
          <w:rFonts w:cs="Arial"/>
        </w:rPr>
        <w:t xml:space="preserve">du 17 avril 2012 et </w:t>
      </w:r>
      <w:proofErr w:type="spellStart"/>
      <w:r w:rsidRPr="000B30A7">
        <w:rPr>
          <w:rFonts w:cs="Arial"/>
          <w:i/>
        </w:rPr>
        <w:t>Gerasimov</w:t>
      </w:r>
      <w:proofErr w:type="spellEnd"/>
      <w:r w:rsidRPr="000B30A7">
        <w:rPr>
          <w:rFonts w:cs="Arial"/>
          <w:i/>
        </w:rPr>
        <w:t xml:space="preserve"> et autres c. Russie </w:t>
      </w:r>
      <w:r w:rsidRPr="000B30A7">
        <w:rPr>
          <w:rFonts w:cs="Arial"/>
        </w:rPr>
        <w:t>du 1</w:t>
      </w:r>
      <w:r w:rsidRPr="000B30A7">
        <w:rPr>
          <w:rFonts w:cs="Arial"/>
          <w:vertAlign w:val="superscript"/>
        </w:rPr>
        <w:t>er</w:t>
      </w:r>
      <w:r w:rsidRPr="000B30A7">
        <w:rPr>
          <w:rFonts w:cs="Arial"/>
        </w:rPr>
        <w:t xml:space="preserve"> juillet 2014.</w:t>
      </w:r>
    </w:p>
  </w:footnote>
  <w:footnote w:id="24">
    <w:p w:rsidR="009E0B23" w:rsidRPr="000B30A7" w:rsidRDefault="009E0B23" w:rsidP="00F241EB">
      <w:pPr>
        <w:pStyle w:val="Notedebasdepage"/>
        <w:jc w:val="both"/>
        <w:rPr>
          <w:rFonts w:cs="Arial"/>
        </w:rPr>
      </w:pPr>
      <w:r w:rsidRPr="000B30A7">
        <w:rPr>
          <w:rStyle w:val="Appelnotedebasdep"/>
          <w:rFonts w:cs="Arial"/>
        </w:rPr>
        <w:footnoteRef/>
      </w:r>
      <w:r w:rsidRPr="000B30A7">
        <w:rPr>
          <w:rFonts w:cs="Arial"/>
        </w:rPr>
        <w:t xml:space="preserve"> Cour </w:t>
      </w:r>
      <w:proofErr w:type="spellStart"/>
      <w:r w:rsidRPr="000B30A7">
        <w:rPr>
          <w:rFonts w:cs="Arial"/>
        </w:rPr>
        <w:t>eur</w:t>
      </w:r>
      <w:proofErr w:type="spellEnd"/>
      <w:r w:rsidRPr="000B30A7">
        <w:rPr>
          <w:rFonts w:cs="Arial"/>
        </w:rPr>
        <w:t xml:space="preserve">. </w:t>
      </w:r>
      <w:proofErr w:type="spellStart"/>
      <w:r w:rsidRPr="000B30A7">
        <w:rPr>
          <w:rFonts w:cs="Arial"/>
        </w:rPr>
        <w:t>dr</w:t>
      </w:r>
      <w:proofErr w:type="spellEnd"/>
      <w:r w:rsidRPr="000B30A7">
        <w:rPr>
          <w:rFonts w:cs="Arial"/>
        </w:rPr>
        <w:t xml:space="preserve">. </w:t>
      </w:r>
      <w:proofErr w:type="gramStart"/>
      <w:r w:rsidRPr="000B30A7">
        <w:rPr>
          <w:rFonts w:cs="Arial"/>
        </w:rPr>
        <w:t>h.,</w:t>
      </w:r>
      <w:proofErr w:type="gramEnd"/>
      <w:r w:rsidRPr="000B30A7">
        <w:rPr>
          <w:rFonts w:cs="Arial"/>
        </w:rPr>
        <w:t xml:space="preserve"> </w:t>
      </w:r>
      <w:proofErr w:type="spellStart"/>
      <w:r w:rsidRPr="000B30A7">
        <w:rPr>
          <w:rFonts w:cs="Arial"/>
          <w:i/>
        </w:rPr>
        <w:t>Bourdov</w:t>
      </w:r>
      <w:proofErr w:type="spellEnd"/>
      <w:r w:rsidRPr="000B30A7">
        <w:rPr>
          <w:rFonts w:cs="Arial"/>
          <w:i/>
        </w:rPr>
        <w:t xml:space="preserve"> c. Russie</w:t>
      </w:r>
      <w:r w:rsidRPr="000B30A7">
        <w:rPr>
          <w:rFonts w:cs="Arial"/>
        </w:rPr>
        <w:t>, 4 septembre 2002, §40.</w:t>
      </w:r>
    </w:p>
  </w:footnote>
  <w:footnote w:id="25">
    <w:p w:rsidR="009E0B23" w:rsidRPr="000B30A7" w:rsidRDefault="009E0B23" w:rsidP="00F241EB">
      <w:pPr>
        <w:pStyle w:val="Notedebasdepage"/>
        <w:jc w:val="both"/>
        <w:rPr>
          <w:rFonts w:cs="Arial"/>
        </w:rPr>
      </w:pPr>
      <w:r w:rsidRPr="000B30A7">
        <w:rPr>
          <w:rStyle w:val="Appelnotedebasdep"/>
          <w:rFonts w:cs="Arial"/>
        </w:rPr>
        <w:footnoteRef/>
      </w:r>
      <w:r w:rsidRPr="000B30A7">
        <w:rPr>
          <w:rFonts w:cs="Arial"/>
        </w:rPr>
        <w:t xml:space="preserve"> En l’espèce, un tribunal avait accepté la plainte du requérant contre l’administration communale et rendu une décision aux termes de laquelle il pouvait obtenir un logement appartenant à l’État. Ce jugement n’a jamais pu être exécuté parce que les autorités de la ville ne possédaient pas un tel appartement ou n’avaient pas de ressources pour l’acheter. En 2002, le requérant demanda une autre méthode d’exécution, à savoir que la valeur de cet appartement lui soit payée comptant. Ultérieurement, la ville lui soumit un appartement mais de dimensions bien inférieures, arguant du fait qu’elle ne pouvait pas lui offrir autre chose. Comme ici, la Cour rappelle que l’exécution des jugements doit être considérée comme partie intégrante du droit au procès équitable consacré par l’article 6 de la Convention. Il ne revient pas aux autorités de l’État d’invoquer un manque de fonds ou de logements comme excuse pour ne pas honorer un jugement les condamnant. Si un certain délai pour l’exécution d’un jugement peut être justifié dans des circonstances particulières, ce délai ne peut pas être de nature telle qu’il mette en cause la substance du droit protégé par l’article 6.</w:t>
      </w:r>
    </w:p>
  </w:footnote>
  <w:footnote w:id="26">
    <w:p w:rsidR="009E0B23" w:rsidRPr="000B30A7" w:rsidRDefault="009E0B23" w:rsidP="00F241EB">
      <w:pPr>
        <w:pStyle w:val="Notedebasdepage"/>
        <w:jc w:val="both"/>
      </w:pPr>
      <w:r w:rsidRPr="000B30A7">
        <w:rPr>
          <w:rStyle w:val="Appelnotedebasdep"/>
        </w:rPr>
        <w:footnoteRef/>
      </w:r>
      <w:r w:rsidRPr="000B30A7">
        <w:t xml:space="preserve"> </w:t>
      </w:r>
      <w:r w:rsidRPr="000B30A7">
        <w:rPr>
          <w:i/>
        </w:rPr>
        <w:t xml:space="preserve">Cf. </w:t>
      </w:r>
      <w:r w:rsidRPr="000B30A7">
        <w:t xml:space="preserve">l’art. 443-7 du </w:t>
      </w:r>
      <w:r w:rsidRPr="000B30A7">
        <w:rPr>
          <w:rFonts w:cs="Arial"/>
        </w:rPr>
        <w:t>Code de la construction et de l’habitation.</w:t>
      </w:r>
    </w:p>
  </w:footnote>
  <w:footnote w:id="27">
    <w:p w:rsidR="009E0B23" w:rsidRPr="000B30A7" w:rsidRDefault="009E0B23" w:rsidP="00F241EB">
      <w:pPr>
        <w:pStyle w:val="Notedebasdepage"/>
        <w:jc w:val="both"/>
      </w:pPr>
      <w:r w:rsidRPr="000B30A7">
        <w:rPr>
          <w:rStyle w:val="Appelnotedebasdep"/>
        </w:rPr>
        <w:footnoteRef/>
      </w:r>
      <w:r w:rsidRPr="000B30A7">
        <w:t xml:space="preserve"> </w:t>
      </w:r>
      <w:proofErr w:type="spellStart"/>
      <w:r w:rsidRPr="000B30A7">
        <w:t>Voy</w:t>
      </w:r>
      <w:proofErr w:type="spellEnd"/>
      <w:r w:rsidRPr="000B30A7">
        <w:t xml:space="preserve">. </w:t>
      </w:r>
      <w:proofErr w:type="gramStart"/>
      <w:r w:rsidRPr="000B30A7">
        <w:rPr>
          <w:i/>
        </w:rPr>
        <w:t>supra</w:t>
      </w:r>
      <w:proofErr w:type="gramEnd"/>
      <w:r w:rsidRPr="000B30A7">
        <w:t xml:space="preserve"> n°7.</w:t>
      </w:r>
    </w:p>
  </w:footnote>
  <w:footnote w:id="28">
    <w:p w:rsidR="009E0B23" w:rsidRPr="000B30A7" w:rsidRDefault="009E0B23" w:rsidP="00F241EB">
      <w:pPr>
        <w:pStyle w:val="Notedebasdepage"/>
        <w:jc w:val="both"/>
        <w:rPr>
          <w:rFonts w:cs="Arial"/>
        </w:rPr>
      </w:pPr>
      <w:r w:rsidRPr="000B30A7">
        <w:rPr>
          <w:rStyle w:val="Appelnotedebasdep"/>
          <w:rFonts w:cs="Arial"/>
        </w:rPr>
        <w:footnoteRef/>
      </w:r>
      <w:r w:rsidRPr="000B30A7">
        <w:rPr>
          <w:rFonts w:cs="Arial"/>
        </w:rPr>
        <w:t xml:space="preserve"> Au passage, on se plaît à relever la contradiction de l’État français. Ici, pour récuser l’application de la notion de bien, il avance que la requérante n’est en rien le bénéficiaire immédiat de l’astreinte. Mais précédemment, en vue cette fois de montrer que l’exécution des décisions de justice est assurée à suffisance par l’existence de cette astreinte, il soutenait que le fonds d’accompagnement vers et dans le logement avait vocation à venir en aide à l’ensemble des ménages concernés et que, dans ces conditions, « le destinataire de l’astreinte devient indifférent ». </w:t>
      </w:r>
      <w:proofErr w:type="spellStart"/>
      <w:r w:rsidRPr="000B30A7">
        <w:rPr>
          <w:rFonts w:cs="Arial"/>
        </w:rPr>
        <w:t>Voy</w:t>
      </w:r>
      <w:proofErr w:type="spellEnd"/>
      <w:r w:rsidRPr="000B30A7">
        <w:rPr>
          <w:rFonts w:cs="Arial"/>
        </w:rPr>
        <w:t xml:space="preserve">. </w:t>
      </w:r>
      <w:proofErr w:type="gramStart"/>
      <w:r w:rsidRPr="000B30A7">
        <w:rPr>
          <w:rFonts w:cs="Arial"/>
          <w:i/>
        </w:rPr>
        <w:t>supra</w:t>
      </w:r>
      <w:proofErr w:type="gramEnd"/>
      <w:r w:rsidRPr="000B30A7">
        <w:rPr>
          <w:rFonts w:cs="Arial"/>
        </w:rPr>
        <w:t xml:space="preserve"> n°4.</w:t>
      </w:r>
    </w:p>
  </w:footnote>
  <w:footnote w:id="29">
    <w:p w:rsidR="009E0B23" w:rsidRPr="000B30A7" w:rsidRDefault="009E0B23" w:rsidP="00F241EB">
      <w:pPr>
        <w:pStyle w:val="Notedebasdepage"/>
        <w:jc w:val="both"/>
      </w:pPr>
      <w:r w:rsidRPr="000B30A7">
        <w:rPr>
          <w:rStyle w:val="Appelnotedebasdep"/>
        </w:rPr>
        <w:footnoteRef/>
      </w:r>
      <w:r w:rsidRPr="000B30A7">
        <w:t xml:space="preserve"> Il ne faut en tous cas pas l’imputer au fait que la requérante, en réalité, n’a jamais allégué d’atteinte à son droit au respect de ses biens. Car, </w:t>
      </w:r>
      <w:r w:rsidRPr="000B30A7">
        <w:rPr>
          <w:rStyle w:val="sb8d990e2"/>
          <w:rFonts w:eastAsia="Times New Roman" w:cs="Times New Roman"/>
        </w:rPr>
        <w:t>« maîtresse de la qualification juridique des faits », la Cour a estimé ici que « le grief soulève également des questions sous l’angle de l’article 1 du Protocole n</w:t>
      </w:r>
      <w:r w:rsidRPr="000B30A7">
        <w:rPr>
          <w:rStyle w:val="sea881cdf"/>
          <w:rFonts w:eastAsia="Times New Roman" w:cs="Times New Roman"/>
        </w:rPr>
        <w:t>°</w:t>
      </w:r>
      <w:r w:rsidRPr="000B30A7">
        <w:rPr>
          <w:rStyle w:val="sb8d990e2"/>
          <w:rFonts w:eastAsia="Times New Roman" w:cs="Times New Roman"/>
        </w:rPr>
        <w:t>1 » (§54).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78CC04C"/>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4"/>
      <w:lvlText w:val=""/>
      <w:lvlJc w:val="left"/>
      <w:pPr>
        <w:tabs>
          <w:tab w:val="num" w:pos="720"/>
        </w:tabs>
        <w:ind w:left="1080" w:hanging="360"/>
      </w:pPr>
      <w:rPr>
        <w:rFonts w:ascii="Symbol" w:hAnsi="Symbol" w:hint="default"/>
      </w:rPr>
    </w:lvl>
    <w:lvl w:ilvl="2">
      <w:start w:val="1"/>
      <w:numFmt w:val="bullet"/>
      <w:pStyle w:val="NoteLevel5"/>
      <w:lvlText w:val="o"/>
      <w:lvlJc w:val="left"/>
      <w:pPr>
        <w:tabs>
          <w:tab w:val="num" w:pos="1440"/>
        </w:tabs>
        <w:ind w:left="1800" w:hanging="360"/>
      </w:pPr>
      <w:rPr>
        <w:rFonts w:ascii="Courier New" w:hAnsi="Courier New" w:hint="default"/>
      </w:rPr>
    </w:lvl>
    <w:lvl w:ilvl="3">
      <w:start w:val="1"/>
      <w:numFmt w:val="bullet"/>
      <w:pStyle w:val="NoteLevel6"/>
      <w:lvlText w:val=""/>
      <w:lvlJc w:val="left"/>
      <w:pPr>
        <w:tabs>
          <w:tab w:val="num" w:pos="2160"/>
        </w:tabs>
        <w:ind w:left="2520" w:hanging="360"/>
      </w:pPr>
      <w:rPr>
        <w:rFonts w:ascii="Wingdings" w:hAnsi="Wingdings" w:hint="default"/>
      </w:rPr>
    </w:lvl>
    <w:lvl w:ilvl="4">
      <w:start w:val="1"/>
      <w:numFmt w:val="bullet"/>
      <w:pStyle w:val="NoteLevel7"/>
      <w:lvlText w:val=""/>
      <w:lvlJc w:val="left"/>
      <w:pPr>
        <w:tabs>
          <w:tab w:val="num" w:pos="2880"/>
        </w:tabs>
        <w:ind w:left="3240" w:hanging="360"/>
      </w:pPr>
      <w:rPr>
        <w:rFonts w:ascii="Wingdings" w:hAnsi="Wingdings" w:hint="default"/>
      </w:rPr>
    </w:lvl>
    <w:lvl w:ilvl="5">
      <w:start w:val="1"/>
      <w:numFmt w:val="bullet"/>
      <w:pStyle w:val="NoteLevel8"/>
      <w:lvlText w:val=""/>
      <w:lvlJc w:val="left"/>
      <w:pPr>
        <w:tabs>
          <w:tab w:val="num" w:pos="3600"/>
        </w:tabs>
        <w:ind w:left="3960" w:hanging="360"/>
      </w:pPr>
      <w:rPr>
        <w:rFonts w:ascii="Symbol" w:hAnsi="Symbol" w:hint="default"/>
      </w:rPr>
    </w:lvl>
    <w:lvl w:ilvl="6">
      <w:start w:val="1"/>
      <w:numFmt w:val="bullet"/>
      <w:pStyle w:val="NoteLevel9"/>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1"/>
    <w:multiLevelType w:val="singleLevel"/>
    <w:tmpl w:val="8B2488D6"/>
    <w:lvl w:ilvl="0">
      <w:start w:val="1"/>
      <w:numFmt w:val="bullet"/>
      <w:lvlText w:val=""/>
      <w:lvlJc w:val="left"/>
      <w:pPr>
        <w:tabs>
          <w:tab w:val="num" w:pos="1209"/>
        </w:tabs>
        <w:ind w:left="1209" w:hanging="360"/>
      </w:pPr>
      <w:rPr>
        <w:rFonts w:ascii="Symbol" w:eastAsia="Times New Roman" w:hAnsi="Symbol" w:cs="Symbo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E876EF"/>
    <w:rsid w:val="00005128"/>
    <w:rsid w:val="0000538B"/>
    <w:rsid w:val="0000689F"/>
    <w:rsid w:val="00017A4C"/>
    <w:rsid w:val="000210F0"/>
    <w:rsid w:val="0002332E"/>
    <w:rsid w:val="00033D21"/>
    <w:rsid w:val="00050AF8"/>
    <w:rsid w:val="00055921"/>
    <w:rsid w:val="00056AF8"/>
    <w:rsid w:val="00056ED0"/>
    <w:rsid w:val="0005741B"/>
    <w:rsid w:val="00057F66"/>
    <w:rsid w:val="00065168"/>
    <w:rsid w:val="0006522F"/>
    <w:rsid w:val="00065D0C"/>
    <w:rsid w:val="00066762"/>
    <w:rsid w:val="000701BE"/>
    <w:rsid w:val="0007314F"/>
    <w:rsid w:val="0008040F"/>
    <w:rsid w:val="00081A9E"/>
    <w:rsid w:val="00083A67"/>
    <w:rsid w:val="00086B99"/>
    <w:rsid w:val="0009093A"/>
    <w:rsid w:val="00096445"/>
    <w:rsid w:val="000A4326"/>
    <w:rsid w:val="000A4C8D"/>
    <w:rsid w:val="000A7DEA"/>
    <w:rsid w:val="000B30A7"/>
    <w:rsid w:val="000B35AD"/>
    <w:rsid w:val="000B4C0D"/>
    <w:rsid w:val="000B57FE"/>
    <w:rsid w:val="000B73A0"/>
    <w:rsid w:val="000C0764"/>
    <w:rsid w:val="000C5818"/>
    <w:rsid w:val="000D7AC2"/>
    <w:rsid w:val="000E0029"/>
    <w:rsid w:val="000E0E5B"/>
    <w:rsid w:val="000E12BB"/>
    <w:rsid w:val="000E3984"/>
    <w:rsid w:val="000E48BC"/>
    <w:rsid w:val="000E6C50"/>
    <w:rsid w:val="000F1B9F"/>
    <w:rsid w:val="000F3215"/>
    <w:rsid w:val="000F37F9"/>
    <w:rsid w:val="00100118"/>
    <w:rsid w:val="001013B1"/>
    <w:rsid w:val="001026F4"/>
    <w:rsid w:val="0010520F"/>
    <w:rsid w:val="001065BB"/>
    <w:rsid w:val="0011593A"/>
    <w:rsid w:val="00115E53"/>
    <w:rsid w:val="00116C0F"/>
    <w:rsid w:val="0011726F"/>
    <w:rsid w:val="00127253"/>
    <w:rsid w:val="00142104"/>
    <w:rsid w:val="00143A92"/>
    <w:rsid w:val="00147218"/>
    <w:rsid w:val="001544EF"/>
    <w:rsid w:val="0015456A"/>
    <w:rsid w:val="0015458F"/>
    <w:rsid w:val="0016211D"/>
    <w:rsid w:val="00165DEC"/>
    <w:rsid w:val="00167594"/>
    <w:rsid w:val="0017580C"/>
    <w:rsid w:val="00176B99"/>
    <w:rsid w:val="001806E1"/>
    <w:rsid w:val="001879E9"/>
    <w:rsid w:val="001943EA"/>
    <w:rsid w:val="001964FE"/>
    <w:rsid w:val="001A086B"/>
    <w:rsid w:val="001A1627"/>
    <w:rsid w:val="001A70A4"/>
    <w:rsid w:val="001B210F"/>
    <w:rsid w:val="001B4597"/>
    <w:rsid w:val="001B770B"/>
    <w:rsid w:val="001B7CD2"/>
    <w:rsid w:val="001C12FD"/>
    <w:rsid w:val="001C40E1"/>
    <w:rsid w:val="001C4404"/>
    <w:rsid w:val="001C507A"/>
    <w:rsid w:val="001C562E"/>
    <w:rsid w:val="001D3172"/>
    <w:rsid w:val="001D3B58"/>
    <w:rsid w:val="001D3C84"/>
    <w:rsid w:val="001D4212"/>
    <w:rsid w:val="001D5E8C"/>
    <w:rsid w:val="001E0686"/>
    <w:rsid w:val="001E08C7"/>
    <w:rsid w:val="001F06EB"/>
    <w:rsid w:val="001F2DD4"/>
    <w:rsid w:val="001F3166"/>
    <w:rsid w:val="001F331E"/>
    <w:rsid w:val="001F73DB"/>
    <w:rsid w:val="00201E92"/>
    <w:rsid w:val="002024A5"/>
    <w:rsid w:val="0020313E"/>
    <w:rsid w:val="002119C8"/>
    <w:rsid w:val="002126BB"/>
    <w:rsid w:val="0024256E"/>
    <w:rsid w:val="00245A44"/>
    <w:rsid w:val="0024633F"/>
    <w:rsid w:val="0026278F"/>
    <w:rsid w:val="00272475"/>
    <w:rsid w:val="0027742E"/>
    <w:rsid w:val="00282A77"/>
    <w:rsid w:val="00296B18"/>
    <w:rsid w:val="0029782A"/>
    <w:rsid w:val="002A39BC"/>
    <w:rsid w:val="002A5CB3"/>
    <w:rsid w:val="002A73E2"/>
    <w:rsid w:val="002B44B4"/>
    <w:rsid w:val="002B6D43"/>
    <w:rsid w:val="002C1444"/>
    <w:rsid w:val="002C1D00"/>
    <w:rsid w:val="002C5BB7"/>
    <w:rsid w:val="002C5F95"/>
    <w:rsid w:val="002C6080"/>
    <w:rsid w:val="002D22FB"/>
    <w:rsid w:val="002D6DD6"/>
    <w:rsid w:val="002D6FD2"/>
    <w:rsid w:val="002D7017"/>
    <w:rsid w:val="002E4D74"/>
    <w:rsid w:val="002E6CB9"/>
    <w:rsid w:val="002F2327"/>
    <w:rsid w:val="002F4B46"/>
    <w:rsid w:val="002F6A03"/>
    <w:rsid w:val="003008DC"/>
    <w:rsid w:val="003028FF"/>
    <w:rsid w:val="00312742"/>
    <w:rsid w:val="00313B66"/>
    <w:rsid w:val="00313B95"/>
    <w:rsid w:val="00316121"/>
    <w:rsid w:val="00322A60"/>
    <w:rsid w:val="00330F8B"/>
    <w:rsid w:val="00335E11"/>
    <w:rsid w:val="003469B4"/>
    <w:rsid w:val="00350A5E"/>
    <w:rsid w:val="00352A9D"/>
    <w:rsid w:val="00353032"/>
    <w:rsid w:val="00355B1F"/>
    <w:rsid w:val="00363A1F"/>
    <w:rsid w:val="00363BCF"/>
    <w:rsid w:val="00367843"/>
    <w:rsid w:val="003716B0"/>
    <w:rsid w:val="0037280B"/>
    <w:rsid w:val="00376BC2"/>
    <w:rsid w:val="00386076"/>
    <w:rsid w:val="00387500"/>
    <w:rsid w:val="00387540"/>
    <w:rsid w:val="00390169"/>
    <w:rsid w:val="00395B30"/>
    <w:rsid w:val="003A1720"/>
    <w:rsid w:val="003B278F"/>
    <w:rsid w:val="003B52C6"/>
    <w:rsid w:val="003C1F86"/>
    <w:rsid w:val="003D0D4E"/>
    <w:rsid w:val="003D168F"/>
    <w:rsid w:val="003D1735"/>
    <w:rsid w:val="003D2853"/>
    <w:rsid w:val="003D3286"/>
    <w:rsid w:val="003D63E0"/>
    <w:rsid w:val="003D7492"/>
    <w:rsid w:val="003E3E29"/>
    <w:rsid w:val="003E6078"/>
    <w:rsid w:val="003F0BC3"/>
    <w:rsid w:val="003F53C2"/>
    <w:rsid w:val="003F5866"/>
    <w:rsid w:val="003F7774"/>
    <w:rsid w:val="00403F57"/>
    <w:rsid w:val="00407DA7"/>
    <w:rsid w:val="004176C3"/>
    <w:rsid w:val="00421DEC"/>
    <w:rsid w:val="0042293B"/>
    <w:rsid w:val="004229B0"/>
    <w:rsid w:val="0042552E"/>
    <w:rsid w:val="00426E5E"/>
    <w:rsid w:val="00430EE1"/>
    <w:rsid w:val="00443097"/>
    <w:rsid w:val="004442D1"/>
    <w:rsid w:val="00446510"/>
    <w:rsid w:val="00453F1A"/>
    <w:rsid w:val="00454986"/>
    <w:rsid w:val="0045651F"/>
    <w:rsid w:val="0046510A"/>
    <w:rsid w:val="004657B2"/>
    <w:rsid w:val="00465E88"/>
    <w:rsid w:val="00471F80"/>
    <w:rsid w:val="00483067"/>
    <w:rsid w:val="00493E5A"/>
    <w:rsid w:val="004A1DDC"/>
    <w:rsid w:val="004A2EB3"/>
    <w:rsid w:val="004B0172"/>
    <w:rsid w:val="004B2B86"/>
    <w:rsid w:val="004B2F14"/>
    <w:rsid w:val="004B4C84"/>
    <w:rsid w:val="004C529B"/>
    <w:rsid w:val="004D3E57"/>
    <w:rsid w:val="004D455E"/>
    <w:rsid w:val="004E2DF5"/>
    <w:rsid w:val="004E4A92"/>
    <w:rsid w:val="004E57BD"/>
    <w:rsid w:val="004F248C"/>
    <w:rsid w:val="00500ECE"/>
    <w:rsid w:val="0050243A"/>
    <w:rsid w:val="0051047A"/>
    <w:rsid w:val="00511948"/>
    <w:rsid w:val="00515559"/>
    <w:rsid w:val="00515B61"/>
    <w:rsid w:val="005262AB"/>
    <w:rsid w:val="005277A2"/>
    <w:rsid w:val="00527872"/>
    <w:rsid w:val="00534D0D"/>
    <w:rsid w:val="00535A0C"/>
    <w:rsid w:val="005402F7"/>
    <w:rsid w:val="0054360F"/>
    <w:rsid w:val="00545775"/>
    <w:rsid w:val="0055318A"/>
    <w:rsid w:val="00554A7C"/>
    <w:rsid w:val="00555D0D"/>
    <w:rsid w:val="0056100D"/>
    <w:rsid w:val="00562F04"/>
    <w:rsid w:val="005645EF"/>
    <w:rsid w:val="00570467"/>
    <w:rsid w:val="00570744"/>
    <w:rsid w:val="00571638"/>
    <w:rsid w:val="00574A75"/>
    <w:rsid w:val="00576D26"/>
    <w:rsid w:val="0058349F"/>
    <w:rsid w:val="00583D1A"/>
    <w:rsid w:val="005844F2"/>
    <w:rsid w:val="00584E71"/>
    <w:rsid w:val="00586217"/>
    <w:rsid w:val="005863B3"/>
    <w:rsid w:val="0058661A"/>
    <w:rsid w:val="0058699A"/>
    <w:rsid w:val="00587F85"/>
    <w:rsid w:val="00592C12"/>
    <w:rsid w:val="005972AF"/>
    <w:rsid w:val="005A03E7"/>
    <w:rsid w:val="005B4506"/>
    <w:rsid w:val="005B72D0"/>
    <w:rsid w:val="005C1739"/>
    <w:rsid w:val="005C6CC3"/>
    <w:rsid w:val="005D1225"/>
    <w:rsid w:val="005D2035"/>
    <w:rsid w:val="005D7B4A"/>
    <w:rsid w:val="005E2EBB"/>
    <w:rsid w:val="005E37DE"/>
    <w:rsid w:val="005F436C"/>
    <w:rsid w:val="005F51B8"/>
    <w:rsid w:val="005F64C0"/>
    <w:rsid w:val="005F7410"/>
    <w:rsid w:val="00606015"/>
    <w:rsid w:val="006069CA"/>
    <w:rsid w:val="00617B49"/>
    <w:rsid w:val="00636797"/>
    <w:rsid w:val="00643317"/>
    <w:rsid w:val="006441B1"/>
    <w:rsid w:val="00646894"/>
    <w:rsid w:val="00646E9B"/>
    <w:rsid w:val="00652753"/>
    <w:rsid w:val="0065332A"/>
    <w:rsid w:val="00655B6D"/>
    <w:rsid w:val="00667D2E"/>
    <w:rsid w:val="0067403B"/>
    <w:rsid w:val="006747F2"/>
    <w:rsid w:val="00677CB3"/>
    <w:rsid w:val="006801D8"/>
    <w:rsid w:val="0068087F"/>
    <w:rsid w:val="006828F8"/>
    <w:rsid w:val="0068490D"/>
    <w:rsid w:val="00686461"/>
    <w:rsid w:val="00697DB5"/>
    <w:rsid w:val="006A2C5A"/>
    <w:rsid w:val="006B49FA"/>
    <w:rsid w:val="006C6612"/>
    <w:rsid w:val="006D4725"/>
    <w:rsid w:val="006D550F"/>
    <w:rsid w:val="006D7B08"/>
    <w:rsid w:val="006F021E"/>
    <w:rsid w:val="006F2E3B"/>
    <w:rsid w:val="006F45C9"/>
    <w:rsid w:val="006F4773"/>
    <w:rsid w:val="00702E0D"/>
    <w:rsid w:val="00706627"/>
    <w:rsid w:val="00706C22"/>
    <w:rsid w:val="007159FD"/>
    <w:rsid w:val="007160E5"/>
    <w:rsid w:val="00720093"/>
    <w:rsid w:val="007204E1"/>
    <w:rsid w:val="00722171"/>
    <w:rsid w:val="007324AA"/>
    <w:rsid w:val="00734C9F"/>
    <w:rsid w:val="00740A7A"/>
    <w:rsid w:val="00747AE9"/>
    <w:rsid w:val="00752D25"/>
    <w:rsid w:val="0075733E"/>
    <w:rsid w:val="00764B54"/>
    <w:rsid w:val="0077463E"/>
    <w:rsid w:val="00777464"/>
    <w:rsid w:val="00777F7B"/>
    <w:rsid w:val="00780EE9"/>
    <w:rsid w:val="0078641F"/>
    <w:rsid w:val="00790331"/>
    <w:rsid w:val="00791986"/>
    <w:rsid w:val="007925EC"/>
    <w:rsid w:val="00793AEA"/>
    <w:rsid w:val="00796599"/>
    <w:rsid w:val="007973BC"/>
    <w:rsid w:val="007976EC"/>
    <w:rsid w:val="007A0A55"/>
    <w:rsid w:val="007A64E9"/>
    <w:rsid w:val="007A7ED9"/>
    <w:rsid w:val="007C470A"/>
    <w:rsid w:val="007C53DD"/>
    <w:rsid w:val="007D1079"/>
    <w:rsid w:val="007D4D5E"/>
    <w:rsid w:val="007D75E5"/>
    <w:rsid w:val="007E4518"/>
    <w:rsid w:val="007E690E"/>
    <w:rsid w:val="007E6E5B"/>
    <w:rsid w:val="007F06AB"/>
    <w:rsid w:val="007F0DD2"/>
    <w:rsid w:val="007F6E56"/>
    <w:rsid w:val="00800415"/>
    <w:rsid w:val="008044DB"/>
    <w:rsid w:val="008123E3"/>
    <w:rsid w:val="00825427"/>
    <w:rsid w:val="00826A52"/>
    <w:rsid w:val="00830373"/>
    <w:rsid w:val="00830DFE"/>
    <w:rsid w:val="008330C8"/>
    <w:rsid w:val="00834E14"/>
    <w:rsid w:val="008412CC"/>
    <w:rsid w:val="00846093"/>
    <w:rsid w:val="0087091B"/>
    <w:rsid w:val="00873C95"/>
    <w:rsid w:val="00874093"/>
    <w:rsid w:val="00875882"/>
    <w:rsid w:val="008846E0"/>
    <w:rsid w:val="00894010"/>
    <w:rsid w:val="00894F24"/>
    <w:rsid w:val="008A160F"/>
    <w:rsid w:val="008A3A41"/>
    <w:rsid w:val="008B0E83"/>
    <w:rsid w:val="008B11ED"/>
    <w:rsid w:val="008B4D53"/>
    <w:rsid w:val="008C2312"/>
    <w:rsid w:val="008C6862"/>
    <w:rsid w:val="008D07A9"/>
    <w:rsid w:val="008D3554"/>
    <w:rsid w:val="008D59DC"/>
    <w:rsid w:val="008D5E73"/>
    <w:rsid w:val="008E0F33"/>
    <w:rsid w:val="008E3204"/>
    <w:rsid w:val="008E4190"/>
    <w:rsid w:val="008E4228"/>
    <w:rsid w:val="008E49EF"/>
    <w:rsid w:val="008F28F6"/>
    <w:rsid w:val="008F30D2"/>
    <w:rsid w:val="008F32F3"/>
    <w:rsid w:val="008F5E90"/>
    <w:rsid w:val="008F6389"/>
    <w:rsid w:val="0090419B"/>
    <w:rsid w:val="009046CB"/>
    <w:rsid w:val="0091040B"/>
    <w:rsid w:val="00912E42"/>
    <w:rsid w:val="00914518"/>
    <w:rsid w:val="00924319"/>
    <w:rsid w:val="009243FB"/>
    <w:rsid w:val="00924487"/>
    <w:rsid w:val="00925028"/>
    <w:rsid w:val="009337B8"/>
    <w:rsid w:val="009364FF"/>
    <w:rsid w:val="00937306"/>
    <w:rsid w:val="0094068D"/>
    <w:rsid w:val="00943FC7"/>
    <w:rsid w:val="0094622E"/>
    <w:rsid w:val="009607B3"/>
    <w:rsid w:val="00966BEB"/>
    <w:rsid w:val="00966E7B"/>
    <w:rsid w:val="00971643"/>
    <w:rsid w:val="00974AD8"/>
    <w:rsid w:val="00976C6D"/>
    <w:rsid w:val="00992FA7"/>
    <w:rsid w:val="00997410"/>
    <w:rsid w:val="00997A24"/>
    <w:rsid w:val="00997B9F"/>
    <w:rsid w:val="009A1F8A"/>
    <w:rsid w:val="009A2306"/>
    <w:rsid w:val="009A28B1"/>
    <w:rsid w:val="009A4EE9"/>
    <w:rsid w:val="009A6032"/>
    <w:rsid w:val="009B66F1"/>
    <w:rsid w:val="009C15A6"/>
    <w:rsid w:val="009C456E"/>
    <w:rsid w:val="009D0E7E"/>
    <w:rsid w:val="009D4CA0"/>
    <w:rsid w:val="009D620A"/>
    <w:rsid w:val="009E0B23"/>
    <w:rsid w:val="009E10F4"/>
    <w:rsid w:val="009E5235"/>
    <w:rsid w:val="009F1554"/>
    <w:rsid w:val="009F593B"/>
    <w:rsid w:val="009F5C5E"/>
    <w:rsid w:val="00A020B9"/>
    <w:rsid w:val="00A10AE7"/>
    <w:rsid w:val="00A12B9A"/>
    <w:rsid w:val="00A24FAC"/>
    <w:rsid w:val="00A25E1A"/>
    <w:rsid w:val="00A263D9"/>
    <w:rsid w:val="00A27D36"/>
    <w:rsid w:val="00A32AE2"/>
    <w:rsid w:val="00A37D34"/>
    <w:rsid w:val="00A41874"/>
    <w:rsid w:val="00A419B5"/>
    <w:rsid w:val="00A4218D"/>
    <w:rsid w:val="00A42795"/>
    <w:rsid w:val="00A46CE8"/>
    <w:rsid w:val="00A51AE3"/>
    <w:rsid w:val="00A51D4E"/>
    <w:rsid w:val="00A562A4"/>
    <w:rsid w:val="00A56E29"/>
    <w:rsid w:val="00A61232"/>
    <w:rsid w:val="00A63057"/>
    <w:rsid w:val="00A84C50"/>
    <w:rsid w:val="00A85F6F"/>
    <w:rsid w:val="00A86CD0"/>
    <w:rsid w:val="00A8710B"/>
    <w:rsid w:val="00A92C7B"/>
    <w:rsid w:val="00A960BC"/>
    <w:rsid w:val="00A96303"/>
    <w:rsid w:val="00A96B9D"/>
    <w:rsid w:val="00AA743A"/>
    <w:rsid w:val="00AB3384"/>
    <w:rsid w:val="00AB3435"/>
    <w:rsid w:val="00AB4ED3"/>
    <w:rsid w:val="00AC1A52"/>
    <w:rsid w:val="00AC48C1"/>
    <w:rsid w:val="00AC4908"/>
    <w:rsid w:val="00AC5946"/>
    <w:rsid w:val="00AC76A3"/>
    <w:rsid w:val="00AD2C94"/>
    <w:rsid w:val="00AD4A7C"/>
    <w:rsid w:val="00AE0035"/>
    <w:rsid w:val="00AE5ADF"/>
    <w:rsid w:val="00AE674C"/>
    <w:rsid w:val="00AE6CC0"/>
    <w:rsid w:val="00AF2CC9"/>
    <w:rsid w:val="00AF5BC1"/>
    <w:rsid w:val="00B0024B"/>
    <w:rsid w:val="00B0704E"/>
    <w:rsid w:val="00B072D4"/>
    <w:rsid w:val="00B11843"/>
    <w:rsid w:val="00B126A8"/>
    <w:rsid w:val="00B1338F"/>
    <w:rsid w:val="00B2555C"/>
    <w:rsid w:val="00B25A7D"/>
    <w:rsid w:val="00B3086E"/>
    <w:rsid w:val="00B320E9"/>
    <w:rsid w:val="00B4159B"/>
    <w:rsid w:val="00B45864"/>
    <w:rsid w:val="00B62AA8"/>
    <w:rsid w:val="00B701BA"/>
    <w:rsid w:val="00B816A7"/>
    <w:rsid w:val="00B81A02"/>
    <w:rsid w:val="00B92DDA"/>
    <w:rsid w:val="00BA2FF7"/>
    <w:rsid w:val="00BA64AF"/>
    <w:rsid w:val="00BA696F"/>
    <w:rsid w:val="00BB0CF6"/>
    <w:rsid w:val="00BC064E"/>
    <w:rsid w:val="00BC1311"/>
    <w:rsid w:val="00BD0568"/>
    <w:rsid w:val="00BD36DB"/>
    <w:rsid w:val="00BD60D9"/>
    <w:rsid w:val="00BF2FFE"/>
    <w:rsid w:val="00BF643C"/>
    <w:rsid w:val="00BF6A77"/>
    <w:rsid w:val="00C00EB2"/>
    <w:rsid w:val="00C010DA"/>
    <w:rsid w:val="00C02C06"/>
    <w:rsid w:val="00C0314F"/>
    <w:rsid w:val="00C33ABF"/>
    <w:rsid w:val="00C40D42"/>
    <w:rsid w:val="00C47FA8"/>
    <w:rsid w:val="00C526D2"/>
    <w:rsid w:val="00C67DB9"/>
    <w:rsid w:val="00C7279D"/>
    <w:rsid w:val="00C73A05"/>
    <w:rsid w:val="00C73F97"/>
    <w:rsid w:val="00C7417D"/>
    <w:rsid w:val="00C80DC4"/>
    <w:rsid w:val="00C82320"/>
    <w:rsid w:val="00C86E94"/>
    <w:rsid w:val="00C95164"/>
    <w:rsid w:val="00CA13FC"/>
    <w:rsid w:val="00CA484B"/>
    <w:rsid w:val="00CB21E3"/>
    <w:rsid w:val="00CC249D"/>
    <w:rsid w:val="00CC5483"/>
    <w:rsid w:val="00CC7F24"/>
    <w:rsid w:val="00CC7FC0"/>
    <w:rsid w:val="00CD367A"/>
    <w:rsid w:val="00CE55EB"/>
    <w:rsid w:val="00D00B67"/>
    <w:rsid w:val="00D12E0F"/>
    <w:rsid w:val="00D20B81"/>
    <w:rsid w:val="00D22C1A"/>
    <w:rsid w:val="00D2770D"/>
    <w:rsid w:val="00D3101A"/>
    <w:rsid w:val="00D33575"/>
    <w:rsid w:val="00D33707"/>
    <w:rsid w:val="00D37696"/>
    <w:rsid w:val="00D42323"/>
    <w:rsid w:val="00D46490"/>
    <w:rsid w:val="00D46F41"/>
    <w:rsid w:val="00D532BB"/>
    <w:rsid w:val="00D56251"/>
    <w:rsid w:val="00D604FF"/>
    <w:rsid w:val="00D63CA1"/>
    <w:rsid w:val="00D64283"/>
    <w:rsid w:val="00D7060E"/>
    <w:rsid w:val="00D74CD9"/>
    <w:rsid w:val="00D9357B"/>
    <w:rsid w:val="00DB0991"/>
    <w:rsid w:val="00DB1ED8"/>
    <w:rsid w:val="00DC2BA1"/>
    <w:rsid w:val="00DC3CB3"/>
    <w:rsid w:val="00DC506D"/>
    <w:rsid w:val="00DD0F06"/>
    <w:rsid w:val="00DD2812"/>
    <w:rsid w:val="00DE3236"/>
    <w:rsid w:val="00DE5B35"/>
    <w:rsid w:val="00DF1E47"/>
    <w:rsid w:val="00E025DF"/>
    <w:rsid w:val="00E068B6"/>
    <w:rsid w:val="00E06AC0"/>
    <w:rsid w:val="00E17E6C"/>
    <w:rsid w:val="00E30208"/>
    <w:rsid w:val="00E30349"/>
    <w:rsid w:val="00E30A9A"/>
    <w:rsid w:val="00E32020"/>
    <w:rsid w:val="00E32DA9"/>
    <w:rsid w:val="00E34519"/>
    <w:rsid w:val="00E37439"/>
    <w:rsid w:val="00E409D0"/>
    <w:rsid w:val="00E43A05"/>
    <w:rsid w:val="00E44899"/>
    <w:rsid w:val="00E4582A"/>
    <w:rsid w:val="00E46B5B"/>
    <w:rsid w:val="00E47E95"/>
    <w:rsid w:val="00E5365E"/>
    <w:rsid w:val="00E53DC6"/>
    <w:rsid w:val="00E55AC1"/>
    <w:rsid w:val="00E57246"/>
    <w:rsid w:val="00E629BD"/>
    <w:rsid w:val="00E65340"/>
    <w:rsid w:val="00E70099"/>
    <w:rsid w:val="00E71EFC"/>
    <w:rsid w:val="00E85054"/>
    <w:rsid w:val="00E8617D"/>
    <w:rsid w:val="00E8753D"/>
    <w:rsid w:val="00E876EF"/>
    <w:rsid w:val="00E87967"/>
    <w:rsid w:val="00E93F37"/>
    <w:rsid w:val="00EA05A6"/>
    <w:rsid w:val="00EA4BB6"/>
    <w:rsid w:val="00EB40ED"/>
    <w:rsid w:val="00EB4874"/>
    <w:rsid w:val="00EB69B6"/>
    <w:rsid w:val="00EC306B"/>
    <w:rsid w:val="00ED2397"/>
    <w:rsid w:val="00ED2CF0"/>
    <w:rsid w:val="00ED317F"/>
    <w:rsid w:val="00EE2D01"/>
    <w:rsid w:val="00EE394F"/>
    <w:rsid w:val="00EE3CD0"/>
    <w:rsid w:val="00EE4EB1"/>
    <w:rsid w:val="00EE6416"/>
    <w:rsid w:val="00EF6AA0"/>
    <w:rsid w:val="00EF7C14"/>
    <w:rsid w:val="00F03820"/>
    <w:rsid w:val="00F135D1"/>
    <w:rsid w:val="00F241EB"/>
    <w:rsid w:val="00F3060D"/>
    <w:rsid w:val="00F31FF5"/>
    <w:rsid w:val="00F321C9"/>
    <w:rsid w:val="00F42E10"/>
    <w:rsid w:val="00F43729"/>
    <w:rsid w:val="00F45DA0"/>
    <w:rsid w:val="00F66C26"/>
    <w:rsid w:val="00F67132"/>
    <w:rsid w:val="00F67E08"/>
    <w:rsid w:val="00F703A9"/>
    <w:rsid w:val="00F70FCE"/>
    <w:rsid w:val="00F73745"/>
    <w:rsid w:val="00F739CF"/>
    <w:rsid w:val="00F83F5F"/>
    <w:rsid w:val="00F94F70"/>
    <w:rsid w:val="00FA2971"/>
    <w:rsid w:val="00FA57F2"/>
    <w:rsid w:val="00FA7E67"/>
    <w:rsid w:val="00FB3998"/>
    <w:rsid w:val="00FB3A6A"/>
    <w:rsid w:val="00FC3247"/>
    <w:rsid w:val="00FD05F7"/>
    <w:rsid w:val="00FD7D70"/>
    <w:rsid w:val="00FE7419"/>
    <w:rsid w:val="00FF56BB"/>
    <w:rsid w:val="00FF767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theme="minorBidi"/>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6EF"/>
    <w:rPr>
      <w:rFonts w:ascii="Times New Roman" w:eastAsia="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Note de bas de page Car1,Note de bas de page Car Car,Footnot,F,footnote text,Footnotes Car,Foo,Footnote Text Char1,Footnote Text Char Char,Footnote Text Char1 Char Char,Footnote Text Char Char Char Char,Footnotes C,Note de bas de pa"/>
    <w:basedOn w:val="Normal"/>
    <w:link w:val="NotedebasdepageCar"/>
    <w:unhideWhenUsed/>
    <w:qFormat/>
    <w:rsid w:val="00F703A9"/>
    <w:rPr>
      <w:rFonts w:ascii="Arial" w:eastAsiaTheme="minorEastAsia" w:hAnsi="Arial" w:cstheme="minorBidi"/>
      <w:sz w:val="20"/>
      <w:szCs w:val="20"/>
    </w:rPr>
  </w:style>
  <w:style w:type="character" w:customStyle="1" w:styleId="NotedebasdepageCar">
    <w:name w:val="Note de bas de page Car"/>
    <w:aliases w:val="Note de bas de page Car1 Car,Note de bas de page Car Car Car,Footnot Car,F Car,footnote text Car,Footnotes Car Car,Foo Car,Footnote Text Char1 Car,Footnote Text Char Char Car,Footnote Text Char1 Char Char Car,Footnotes C Car"/>
    <w:basedOn w:val="Policepardfaut"/>
    <w:link w:val="Notedebasdepage"/>
    <w:rsid w:val="00F703A9"/>
    <w:rPr>
      <w:rFonts w:ascii="Arial" w:hAnsi="Arial"/>
      <w:sz w:val="20"/>
    </w:rPr>
  </w:style>
  <w:style w:type="character" w:styleId="Appelnotedebasdep">
    <w:name w:val="footnote reference"/>
    <w:aliases w:val="Appel note de bas de page,callout,Footnote Refernece,Footnotes refss,Footnote Reference Superscript,BVI fnr,Footnote Reference Number, BVI fnr,Footnote R,Footnote Refere,Footnote Reference N,Footnote Reference in text,FZ,Footnote"/>
    <w:basedOn w:val="Policepardfaut"/>
    <w:rsid w:val="00E876EF"/>
    <w:rPr>
      <w:vertAlign w:val="superscript"/>
    </w:rPr>
  </w:style>
  <w:style w:type="paragraph" w:styleId="Paragraphedeliste">
    <w:name w:val="List Paragraph"/>
    <w:basedOn w:val="Normal"/>
    <w:uiPriority w:val="34"/>
    <w:qFormat/>
    <w:rsid w:val="005402F7"/>
    <w:pPr>
      <w:ind w:left="720"/>
      <w:contextualSpacing/>
    </w:pPr>
  </w:style>
  <w:style w:type="paragraph" w:styleId="Pieddepage">
    <w:name w:val="footer"/>
    <w:basedOn w:val="Normal"/>
    <w:link w:val="PieddepageCar"/>
    <w:uiPriority w:val="99"/>
    <w:unhideWhenUsed/>
    <w:rsid w:val="00924487"/>
    <w:pPr>
      <w:tabs>
        <w:tab w:val="center" w:pos="4536"/>
        <w:tab w:val="right" w:pos="9072"/>
      </w:tabs>
    </w:pPr>
  </w:style>
  <w:style w:type="character" w:customStyle="1" w:styleId="PieddepageCar">
    <w:name w:val="Pied de page Car"/>
    <w:basedOn w:val="Policepardfaut"/>
    <w:link w:val="Pieddepage"/>
    <w:uiPriority w:val="99"/>
    <w:rsid w:val="00924487"/>
    <w:rPr>
      <w:rFonts w:ascii="Times New Roman" w:eastAsia="Times New Roman" w:hAnsi="Times New Roman" w:cs="Times New Roman"/>
      <w:sz w:val="24"/>
      <w:szCs w:val="24"/>
    </w:rPr>
  </w:style>
  <w:style w:type="character" w:styleId="Numrodepage">
    <w:name w:val="page number"/>
    <w:basedOn w:val="Policepardfaut"/>
    <w:uiPriority w:val="99"/>
    <w:semiHidden/>
    <w:unhideWhenUsed/>
    <w:rsid w:val="00924487"/>
  </w:style>
  <w:style w:type="paragraph" w:customStyle="1" w:styleId="Notedebasd">
    <w:name w:val="Note de bas d"/>
    <w:basedOn w:val="Normal"/>
    <w:rsid w:val="00606015"/>
    <w:rPr>
      <w:sz w:val="20"/>
      <w:szCs w:val="20"/>
      <w:lang w:bidi="fr-FR"/>
    </w:rPr>
  </w:style>
  <w:style w:type="character" w:customStyle="1" w:styleId="Marquenotebasde">
    <w:name w:val="Marque note bas de"/>
    <w:basedOn w:val="Policepardfaut"/>
    <w:rsid w:val="00606015"/>
    <w:rPr>
      <w:rFonts w:ascii="Times New Roman" w:hAnsi="Times New Roman" w:cs="Times New Roman"/>
      <w:vertAlign w:val="superscript"/>
    </w:rPr>
  </w:style>
  <w:style w:type="paragraph" w:styleId="Textedebulles">
    <w:name w:val="Balloon Text"/>
    <w:basedOn w:val="Normal"/>
    <w:link w:val="TextedebullesCar"/>
    <w:uiPriority w:val="99"/>
    <w:semiHidden/>
    <w:unhideWhenUsed/>
    <w:rsid w:val="007324A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324AA"/>
    <w:rPr>
      <w:rFonts w:ascii="Lucida Grande" w:eastAsia="Times New Roman" w:hAnsi="Lucida Grande" w:cs="Lucida Grande"/>
      <w:sz w:val="18"/>
      <w:szCs w:val="18"/>
    </w:rPr>
  </w:style>
  <w:style w:type="paragraph" w:customStyle="1" w:styleId="notedebasdepage0">
    <w:name w:val="note de bas de page"/>
    <w:basedOn w:val="Normal"/>
    <w:rsid w:val="007A0A55"/>
    <w:rPr>
      <w:rFonts w:cs="System"/>
      <w:sz w:val="20"/>
      <w:szCs w:val="20"/>
    </w:rPr>
  </w:style>
  <w:style w:type="paragraph" w:customStyle="1" w:styleId="Notedebasd1">
    <w:name w:val="Note de bas d1"/>
    <w:basedOn w:val="Normal"/>
    <w:rsid w:val="007A0A55"/>
    <w:rPr>
      <w:lang w:bidi="fr-FR"/>
    </w:rPr>
  </w:style>
  <w:style w:type="character" w:customStyle="1" w:styleId="highlight">
    <w:name w:val="highlight"/>
    <w:basedOn w:val="Policepardfaut"/>
    <w:rsid w:val="007A0A55"/>
  </w:style>
  <w:style w:type="character" w:customStyle="1" w:styleId="ref-vindplnoindex">
    <w:name w:val="ref-vindpl &#10;noindex"/>
    <w:basedOn w:val="Policepardfaut"/>
    <w:rsid w:val="007A0A55"/>
  </w:style>
  <w:style w:type="character" w:customStyle="1" w:styleId="ref-vindpl">
    <w:name w:val="ref-vindpl"/>
    <w:basedOn w:val="Policepardfaut"/>
    <w:rsid w:val="007A0A55"/>
  </w:style>
  <w:style w:type="paragraph" w:customStyle="1" w:styleId="helvetica">
    <w:name w:val="helvetica"/>
    <w:basedOn w:val="Notedebasdepage"/>
    <w:rsid w:val="007A0A55"/>
    <w:pPr>
      <w:jc w:val="both"/>
    </w:pPr>
    <w:rPr>
      <w:rFonts w:ascii="Helvetica" w:eastAsia="Times New Roman" w:hAnsi="Helvetica" w:cs="New York"/>
    </w:rPr>
  </w:style>
  <w:style w:type="character" w:customStyle="1" w:styleId="ref-vindplnoindex0">
    <w:name w:val="ref-vindpl noindex"/>
    <w:basedOn w:val="Policepardfaut"/>
    <w:rsid w:val="00C73F97"/>
  </w:style>
  <w:style w:type="paragraph" w:customStyle="1" w:styleId="NoteLevel1">
    <w:name w:val="Note Level 1"/>
    <w:basedOn w:val="Normal"/>
    <w:rsid w:val="00C73F97"/>
    <w:pPr>
      <w:keepNext/>
      <w:numPr>
        <w:numId w:val="1"/>
      </w:numPr>
      <w:outlineLvl w:val="0"/>
    </w:pPr>
    <w:rPr>
      <w:rFonts w:ascii="Verdana" w:eastAsia="MS Gothic" w:hAnsi="Verdana" w:cs="MS Sans Serif"/>
      <w:szCs w:val="20"/>
    </w:rPr>
  </w:style>
  <w:style w:type="paragraph" w:customStyle="1" w:styleId="NoteLevel4">
    <w:name w:val="Note Level 4"/>
    <w:basedOn w:val="Normal"/>
    <w:rsid w:val="00C73F97"/>
    <w:pPr>
      <w:keepNext/>
      <w:numPr>
        <w:ilvl w:val="1"/>
        <w:numId w:val="1"/>
      </w:numPr>
      <w:tabs>
        <w:tab w:val="clear" w:pos="720"/>
        <w:tab w:val="num" w:pos="2160"/>
      </w:tabs>
      <w:ind w:left="2520"/>
      <w:outlineLvl w:val="3"/>
    </w:pPr>
    <w:rPr>
      <w:rFonts w:ascii="Verdana" w:eastAsia="MS Gothic" w:hAnsi="Verdana" w:cs="MS Sans Serif"/>
      <w:szCs w:val="20"/>
    </w:rPr>
  </w:style>
  <w:style w:type="paragraph" w:customStyle="1" w:styleId="NoteLevel5">
    <w:name w:val="Note Level 5"/>
    <w:basedOn w:val="Normal"/>
    <w:rsid w:val="00C73F97"/>
    <w:pPr>
      <w:keepNext/>
      <w:numPr>
        <w:ilvl w:val="2"/>
        <w:numId w:val="1"/>
      </w:numPr>
      <w:tabs>
        <w:tab w:val="clear" w:pos="1440"/>
        <w:tab w:val="num" w:pos="2880"/>
      </w:tabs>
      <w:ind w:left="3240"/>
      <w:outlineLvl w:val="4"/>
    </w:pPr>
    <w:rPr>
      <w:rFonts w:ascii="Verdana" w:eastAsia="MS Gothic" w:hAnsi="Verdana" w:cs="MS Sans Serif"/>
      <w:szCs w:val="20"/>
    </w:rPr>
  </w:style>
  <w:style w:type="paragraph" w:customStyle="1" w:styleId="NoteLevel6">
    <w:name w:val="Note Level 6"/>
    <w:basedOn w:val="Normal"/>
    <w:rsid w:val="00C73F97"/>
    <w:pPr>
      <w:keepNext/>
      <w:numPr>
        <w:ilvl w:val="3"/>
        <w:numId w:val="1"/>
      </w:numPr>
      <w:tabs>
        <w:tab w:val="clear" w:pos="2160"/>
        <w:tab w:val="num" w:pos="3600"/>
      </w:tabs>
      <w:ind w:left="3960"/>
      <w:outlineLvl w:val="5"/>
    </w:pPr>
    <w:rPr>
      <w:rFonts w:ascii="Verdana" w:eastAsia="MS Gothic" w:hAnsi="Verdana" w:cs="MS Sans Serif"/>
      <w:szCs w:val="20"/>
    </w:rPr>
  </w:style>
  <w:style w:type="paragraph" w:customStyle="1" w:styleId="NoteLevel7">
    <w:name w:val="Note Level 7"/>
    <w:basedOn w:val="Normal"/>
    <w:rsid w:val="00C73F97"/>
    <w:pPr>
      <w:keepNext/>
      <w:numPr>
        <w:ilvl w:val="4"/>
        <w:numId w:val="1"/>
      </w:numPr>
      <w:tabs>
        <w:tab w:val="clear" w:pos="2880"/>
        <w:tab w:val="num" w:pos="4320"/>
      </w:tabs>
      <w:ind w:left="4680"/>
      <w:outlineLvl w:val="6"/>
    </w:pPr>
    <w:rPr>
      <w:rFonts w:ascii="Verdana" w:eastAsia="MS Gothic" w:hAnsi="Verdana" w:cs="MS Sans Serif"/>
      <w:szCs w:val="20"/>
    </w:rPr>
  </w:style>
  <w:style w:type="paragraph" w:customStyle="1" w:styleId="NoteLevel8">
    <w:name w:val="Note Level 8"/>
    <w:basedOn w:val="Normal"/>
    <w:rsid w:val="00C73F97"/>
    <w:pPr>
      <w:keepNext/>
      <w:numPr>
        <w:ilvl w:val="5"/>
        <w:numId w:val="1"/>
      </w:numPr>
      <w:tabs>
        <w:tab w:val="clear" w:pos="3600"/>
        <w:tab w:val="num" w:pos="5040"/>
      </w:tabs>
      <w:ind w:left="5400"/>
      <w:outlineLvl w:val="7"/>
    </w:pPr>
    <w:rPr>
      <w:rFonts w:ascii="Verdana" w:eastAsia="MS Gothic" w:hAnsi="Verdana" w:cs="MS Sans Serif"/>
      <w:szCs w:val="20"/>
    </w:rPr>
  </w:style>
  <w:style w:type="paragraph" w:customStyle="1" w:styleId="NoteLevel9">
    <w:name w:val="Note Level 9"/>
    <w:basedOn w:val="Normal"/>
    <w:rsid w:val="00C73F97"/>
    <w:pPr>
      <w:keepNext/>
      <w:numPr>
        <w:ilvl w:val="6"/>
        <w:numId w:val="1"/>
      </w:numPr>
      <w:tabs>
        <w:tab w:val="clear" w:pos="4320"/>
        <w:tab w:val="num" w:pos="5760"/>
      </w:tabs>
      <w:ind w:left="6120"/>
      <w:outlineLvl w:val="8"/>
    </w:pPr>
    <w:rPr>
      <w:rFonts w:ascii="Verdana" w:eastAsia="MS Gothic" w:hAnsi="Verdana" w:cs="MS Sans Serif"/>
      <w:szCs w:val="20"/>
    </w:rPr>
  </w:style>
  <w:style w:type="character" w:customStyle="1" w:styleId="Accentua">
    <w:name w:val="Accentua"/>
    <w:basedOn w:val="Policepardfaut"/>
    <w:rsid w:val="000E12BB"/>
    <w:rPr>
      <w:rFonts w:cs="Times New Roman"/>
      <w:i/>
      <w:iCs/>
    </w:rPr>
  </w:style>
  <w:style w:type="character" w:styleId="lev">
    <w:name w:val="Strong"/>
    <w:basedOn w:val="Policepardfaut"/>
    <w:uiPriority w:val="22"/>
    <w:qFormat/>
    <w:rsid w:val="00056ED0"/>
    <w:rPr>
      <w:b/>
      <w:bCs/>
    </w:rPr>
  </w:style>
  <w:style w:type="character" w:styleId="Lienhypertexte">
    <w:name w:val="Hyperlink"/>
    <w:basedOn w:val="Policepardfaut"/>
    <w:uiPriority w:val="99"/>
    <w:semiHidden/>
    <w:unhideWhenUsed/>
    <w:rsid w:val="00C7417D"/>
    <w:rPr>
      <w:color w:val="0000FF"/>
      <w:u w:val="single"/>
    </w:rPr>
  </w:style>
  <w:style w:type="paragraph" w:styleId="NormalWeb">
    <w:name w:val="Normal (Web)"/>
    <w:basedOn w:val="Normal"/>
    <w:uiPriority w:val="99"/>
    <w:semiHidden/>
    <w:unhideWhenUsed/>
    <w:rsid w:val="00C02C06"/>
    <w:pPr>
      <w:spacing w:before="100" w:beforeAutospacing="1" w:after="100" w:afterAutospacing="1"/>
    </w:pPr>
    <w:rPr>
      <w:rFonts w:ascii="Times" w:eastAsiaTheme="minorEastAsia" w:hAnsi="Times"/>
      <w:sz w:val="20"/>
      <w:szCs w:val="20"/>
      <w:lang w:val="fr-BE"/>
    </w:rPr>
  </w:style>
  <w:style w:type="paragraph" w:customStyle="1" w:styleId="JuPara">
    <w:name w:val="Ju_Para"/>
    <w:aliases w:val="Left,First line:  0 cm"/>
    <w:basedOn w:val="Normal"/>
    <w:rsid w:val="0042552E"/>
    <w:pPr>
      <w:suppressAutoHyphens/>
      <w:ind w:firstLine="284"/>
      <w:jc w:val="both"/>
    </w:pPr>
    <w:rPr>
      <w:szCs w:val="20"/>
    </w:rPr>
  </w:style>
  <w:style w:type="paragraph" w:styleId="En-tte">
    <w:name w:val="header"/>
    <w:basedOn w:val="Normal"/>
    <w:link w:val="En-tteCar"/>
    <w:uiPriority w:val="99"/>
    <w:unhideWhenUsed/>
    <w:rsid w:val="004E57BD"/>
    <w:pPr>
      <w:tabs>
        <w:tab w:val="center" w:pos="4536"/>
        <w:tab w:val="right" w:pos="9072"/>
      </w:tabs>
    </w:pPr>
  </w:style>
  <w:style w:type="character" w:customStyle="1" w:styleId="En-tteCar">
    <w:name w:val="En-tête Car"/>
    <w:basedOn w:val="Policepardfaut"/>
    <w:link w:val="En-tte"/>
    <w:uiPriority w:val="99"/>
    <w:rsid w:val="004E57BD"/>
    <w:rPr>
      <w:rFonts w:ascii="Times New Roman" w:eastAsia="Times New Roman" w:hAnsi="Times New Roman" w:cs="Times New Roman"/>
      <w:sz w:val="24"/>
      <w:szCs w:val="24"/>
    </w:rPr>
  </w:style>
  <w:style w:type="character" w:customStyle="1" w:styleId="sb8d990e2">
    <w:name w:val="sb8d990e2"/>
    <w:basedOn w:val="Policepardfaut"/>
    <w:rsid w:val="00791986"/>
  </w:style>
  <w:style w:type="character" w:customStyle="1" w:styleId="sea881cdf">
    <w:name w:val="sea881cdf"/>
    <w:basedOn w:val="Policepardfaut"/>
    <w:rsid w:val="007919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6EF"/>
    <w:rPr>
      <w:rFonts w:ascii="Times New Roman" w:eastAsia="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Note de bas de page Car1,Note de bas de page Car Car,Footnot,F,footnote text,Footnotes Car,Foo,Footnote Text Char1,Footnote Text Char Char,Footnote Text Char1 Char Char,Footnote Text Char Char Char Char,Footnotes C,Note de bas de pa"/>
    <w:basedOn w:val="Normal"/>
    <w:link w:val="NotedebasdepageCar"/>
    <w:unhideWhenUsed/>
    <w:qFormat/>
    <w:rsid w:val="00F703A9"/>
    <w:rPr>
      <w:rFonts w:ascii="Arial" w:eastAsiaTheme="minorEastAsia" w:hAnsi="Arial" w:cstheme="minorBidi"/>
      <w:sz w:val="20"/>
      <w:szCs w:val="20"/>
    </w:rPr>
  </w:style>
  <w:style w:type="character" w:customStyle="1" w:styleId="NotedebasdepageCar">
    <w:name w:val="Note de bas de page Car"/>
    <w:aliases w:val="Note de bas de page Car1 Car,Note de bas de page Car Car Car,Footnot Car,F Car,footnote text Car,Footnotes Car Car,Foo Car,Footnote Text Char1 Car,Footnote Text Char Char Car,Footnote Text Char1 Char Char Car,Footnotes C Car"/>
    <w:basedOn w:val="Policepardfaut"/>
    <w:link w:val="Notedebasdepage"/>
    <w:rsid w:val="00F703A9"/>
    <w:rPr>
      <w:rFonts w:ascii="Arial" w:hAnsi="Arial"/>
      <w:sz w:val="20"/>
    </w:rPr>
  </w:style>
  <w:style w:type="character" w:styleId="Appelnotedebasdep">
    <w:name w:val="footnote reference"/>
    <w:aliases w:val="Appel note de bas de page,callout,Footnote Refernece,Footnotes refss,Footnote Reference Superscript,BVI fnr,Footnote Reference Number, BVI fnr,Footnote R,Footnote Refere,Footnote Reference N,Footnote Reference in text,FZ,Footnote"/>
    <w:basedOn w:val="Policepardfaut"/>
    <w:rsid w:val="00E876EF"/>
    <w:rPr>
      <w:vertAlign w:val="superscript"/>
    </w:rPr>
  </w:style>
  <w:style w:type="paragraph" w:styleId="Paragraphedeliste">
    <w:name w:val="List Paragraph"/>
    <w:basedOn w:val="Normal"/>
    <w:uiPriority w:val="34"/>
    <w:qFormat/>
    <w:rsid w:val="005402F7"/>
    <w:pPr>
      <w:ind w:left="720"/>
      <w:contextualSpacing/>
    </w:pPr>
  </w:style>
  <w:style w:type="paragraph" w:styleId="Pieddepage">
    <w:name w:val="footer"/>
    <w:basedOn w:val="Normal"/>
    <w:link w:val="PieddepageCar"/>
    <w:uiPriority w:val="99"/>
    <w:unhideWhenUsed/>
    <w:rsid w:val="00924487"/>
    <w:pPr>
      <w:tabs>
        <w:tab w:val="center" w:pos="4536"/>
        <w:tab w:val="right" w:pos="9072"/>
      </w:tabs>
    </w:pPr>
  </w:style>
  <w:style w:type="character" w:customStyle="1" w:styleId="PieddepageCar">
    <w:name w:val="Pied de page Car"/>
    <w:basedOn w:val="Policepardfaut"/>
    <w:link w:val="Pieddepage"/>
    <w:uiPriority w:val="99"/>
    <w:rsid w:val="00924487"/>
    <w:rPr>
      <w:rFonts w:ascii="Times New Roman" w:eastAsia="Times New Roman" w:hAnsi="Times New Roman" w:cs="Times New Roman"/>
      <w:sz w:val="24"/>
      <w:szCs w:val="24"/>
    </w:rPr>
  </w:style>
  <w:style w:type="character" w:styleId="Numrodepage">
    <w:name w:val="page number"/>
    <w:basedOn w:val="Policepardfaut"/>
    <w:uiPriority w:val="99"/>
    <w:semiHidden/>
    <w:unhideWhenUsed/>
    <w:rsid w:val="00924487"/>
  </w:style>
  <w:style w:type="paragraph" w:customStyle="1" w:styleId="Notedebasd">
    <w:name w:val="Note de bas d"/>
    <w:basedOn w:val="Normal"/>
    <w:rsid w:val="00606015"/>
    <w:rPr>
      <w:sz w:val="20"/>
      <w:szCs w:val="20"/>
      <w:lang w:bidi="fr-FR"/>
    </w:rPr>
  </w:style>
  <w:style w:type="character" w:customStyle="1" w:styleId="Marquenotebasde">
    <w:name w:val="Marque note bas de"/>
    <w:basedOn w:val="Policepardfaut"/>
    <w:rsid w:val="00606015"/>
    <w:rPr>
      <w:rFonts w:ascii="Times New Roman" w:hAnsi="Times New Roman" w:cs="Times New Roman"/>
      <w:vertAlign w:val="superscript"/>
    </w:rPr>
  </w:style>
  <w:style w:type="paragraph" w:styleId="Textedebulles">
    <w:name w:val="Balloon Text"/>
    <w:basedOn w:val="Normal"/>
    <w:link w:val="TextedebullesCar"/>
    <w:uiPriority w:val="99"/>
    <w:semiHidden/>
    <w:unhideWhenUsed/>
    <w:rsid w:val="007324A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324AA"/>
    <w:rPr>
      <w:rFonts w:ascii="Lucida Grande" w:eastAsia="Times New Roman" w:hAnsi="Lucida Grande" w:cs="Lucida Grande"/>
      <w:sz w:val="18"/>
      <w:szCs w:val="18"/>
    </w:rPr>
  </w:style>
  <w:style w:type="paragraph" w:customStyle="1" w:styleId="notedebasdepage0">
    <w:name w:val="note de bas de page"/>
    <w:basedOn w:val="Normal"/>
    <w:rsid w:val="007A0A55"/>
    <w:rPr>
      <w:rFonts w:cs="System"/>
      <w:sz w:val="20"/>
      <w:szCs w:val="20"/>
    </w:rPr>
  </w:style>
  <w:style w:type="paragraph" w:customStyle="1" w:styleId="Notedebasd1">
    <w:name w:val="Note de bas d1"/>
    <w:basedOn w:val="Normal"/>
    <w:rsid w:val="007A0A55"/>
    <w:rPr>
      <w:lang w:bidi="fr-FR"/>
    </w:rPr>
  </w:style>
  <w:style w:type="character" w:customStyle="1" w:styleId="highlight">
    <w:name w:val="highlight"/>
    <w:basedOn w:val="Policepardfaut"/>
    <w:rsid w:val="007A0A55"/>
  </w:style>
  <w:style w:type="character" w:customStyle="1" w:styleId="ref-vindplnoindex">
    <w:name w:val="ref-vindpl &#10;noindex"/>
    <w:basedOn w:val="Policepardfaut"/>
    <w:rsid w:val="007A0A55"/>
  </w:style>
  <w:style w:type="character" w:customStyle="1" w:styleId="ref-vindpl">
    <w:name w:val="ref-vindpl"/>
    <w:basedOn w:val="Policepardfaut"/>
    <w:rsid w:val="007A0A55"/>
  </w:style>
  <w:style w:type="paragraph" w:customStyle="1" w:styleId="helvetica">
    <w:name w:val="helvetica"/>
    <w:basedOn w:val="Notedebasdepage"/>
    <w:rsid w:val="007A0A55"/>
    <w:pPr>
      <w:jc w:val="both"/>
    </w:pPr>
    <w:rPr>
      <w:rFonts w:ascii="Helvetica" w:eastAsia="Times New Roman" w:hAnsi="Helvetica" w:cs="New York"/>
    </w:rPr>
  </w:style>
  <w:style w:type="character" w:customStyle="1" w:styleId="ref-vindplnoindex0">
    <w:name w:val="ref-vindpl noindex"/>
    <w:basedOn w:val="Policepardfaut"/>
    <w:rsid w:val="00C73F97"/>
  </w:style>
  <w:style w:type="paragraph" w:customStyle="1" w:styleId="NoteLevel1">
    <w:name w:val="Note Level 1"/>
    <w:basedOn w:val="Normal"/>
    <w:rsid w:val="00C73F97"/>
    <w:pPr>
      <w:keepNext/>
      <w:numPr>
        <w:numId w:val="1"/>
      </w:numPr>
      <w:outlineLvl w:val="0"/>
    </w:pPr>
    <w:rPr>
      <w:rFonts w:ascii="Verdana" w:eastAsia="MS Gothic" w:hAnsi="Verdana" w:cs="MS Sans Serif"/>
      <w:szCs w:val="20"/>
    </w:rPr>
  </w:style>
  <w:style w:type="paragraph" w:customStyle="1" w:styleId="NoteLevel4">
    <w:name w:val="Note Level 4"/>
    <w:basedOn w:val="Normal"/>
    <w:rsid w:val="00C73F97"/>
    <w:pPr>
      <w:keepNext/>
      <w:numPr>
        <w:ilvl w:val="1"/>
        <w:numId w:val="1"/>
      </w:numPr>
      <w:tabs>
        <w:tab w:val="clear" w:pos="720"/>
        <w:tab w:val="num" w:pos="2160"/>
      </w:tabs>
      <w:ind w:left="2520"/>
      <w:outlineLvl w:val="3"/>
    </w:pPr>
    <w:rPr>
      <w:rFonts w:ascii="Verdana" w:eastAsia="MS Gothic" w:hAnsi="Verdana" w:cs="MS Sans Serif"/>
      <w:szCs w:val="20"/>
    </w:rPr>
  </w:style>
  <w:style w:type="paragraph" w:customStyle="1" w:styleId="NoteLevel5">
    <w:name w:val="Note Level 5"/>
    <w:basedOn w:val="Normal"/>
    <w:rsid w:val="00C73F97"/>
    <w:pPr>
      <w:keepNext/>
      <w:numPr>
        <w:ilvl w:val="2"/>
        <w:numId w:val="1"/>
      </w:numPr>
      <w:tabs>
        <w:tab w:val="clear" w:pos="1440"/>
        <w:tab w:val="num" w:pos="2880"/>
      </w:tabs>
      <w:ind w:left="3240"/>
      <w:outlineLvl w:val="4"/>
    </w:pPr>
    <w:rPr>
      <w:rFonts w:ascii="Verdana" w:eastAsia="MS Gothic" w:hAnsi="Verdana" w:cs="MS Sans Serif"/>
      <w:szCs w:val="20"/>
    </w:rPr>
  </w:style>
  <w:style w:type="paragraph" w:customStyle="1" w:styleId="NoteLevel6">
    <w:name w:val="Note Level 6"/>
    <w:basedOn w:val="Normal"/>
    <w:rsid w:val="00C73F97"/>
    <w:pPr>
      <w:keepNext/>
      <w:numPr>
        <w:ilvl w:val="3"/>
        <w:numId w:val="1"/>
      </w:numPr>
      <w:tabs>
        <w:tab w:val="clear" w:pos="2160"/>
        <w:tab w:val="num" w:pos="3600"/>
      </w:tabs>
      <w:ind w:left="3960"/>
      <w:outlineLvl w:val="5"/>
    </w:pPr>
    <w:rPr>
      <w:rFonts w:ascii="Verdana" w:eastAsia="MS Gothic" w:hAnsi="Verdana" w:cs="MS Sans Serif"/>
      <w:szCs w:val="20"/>
    </w:rPr>
  </w:style>
  <w:style w:type="paragraph" w:customStyle="1" w:styleId="NoteLevel7">
    <w:name w:val="Note Level 7"/>
    <w:basedOn w:val="Normal"/>
    <w:rsid w:val="00C73F97"/>
    <w:pPr>
      <w:keepNext/>
      <w:numPr>
        <w:ilvl w:val="4"/>
        <w:numId w:val="1"/>
      </w:numPr>
      <w:tabs>
        <w:tab w:val="clear" w:pos="2880"/>
        <w:tab w:val="num" w:pos="4320"/>
      </w:tabs>
      <w:ind w:left="4680"/>
      <w:outlineLvl w:val="6"/>
    </w:pPr>
    <w:rPr>
      <w:rFonts w:ascii="Verdana" w:eastAsia="MS Gothic" w:hAnsi="Verdana" w:cs="MS Sans Serif"/>
      <w:szCs w:val="20"/>
    </w:rPr>
  </w:style>
  <w:style w:type="paragraph" w:customStyle="1" w:styleId="NoteLevel8">
    <w:name w:val="Note Level 8"/>
    <w:basedOn w:val="Normal"/>
    <w:rsid w:val="00C73F97"/>
    <w:pPr>
      <w:keepNext/>
      <w:numPr>
        <w:ilvl w:val="5"/>
        <w:numId w:val="1"/>
      </w:numPr>
      <w:tabs>
        <w:tab w:val="clear" w:pos="3600"/>
        <w:tab w:val="num" w:pos="5040"/>
      </w:tabs>
      <w:ind w:left="5400"/>
      <w:outlineLvl w:val="7"/>
    </w:pPr>
    <w:rPr>
      <w:rFonts w:ascii="Verdana" w:eastAsia="MS Gothic" w:hAnsi="Verdana" w:cs="MS Sans Serif"/>
      <w:szCs w:val="20"/>
    </w:rPr>
  </w:style>
  <w:style w:type="paragraph" w:customStyle="1" w:styleId="NoteLevel9">
    <w:name w:val="Note Level 9"/>
    <w:basedOn w:val="Normal"/>
    <w:rsid w:val="00C73F97"/>
    <w:pPr>
      <w:keepNext/>
      <w:numPr>
        <w:ilvl w:val="6"/>
        <w:numId w:val="1"/>
      </w:numPr>
      <w:tabs>
        <w:tab w:val="clear" w:pos="4320"/>
        <w:tab w:val="num" w:pos="5760"/>
      </w:tabs>
      <w:ind w:left="6120"/>
      <w:outlineLvl w:val="8"/>
    </w:pPr>
    <w:rPr>
      <w:rFonts w:ascii="Verdana" w:eastAsia="MS Gothic" w:hAnsi="Verdana" w:cs="MS Sans Serif"/>
      <w:szCs w:val="20"/>
    </w:rPr>
  </w:style>
  <w:style w:type="character" w:customStyle="1" w:styleId="Accentua">
    <w:name w:val="Accentua"/>
    <w:basedOn w:val="Policepardfaut"/>
    <w:rsid w:val="000E12BB"/>
    <w:rPr>
      <w:rFonts w:cs="Times New Roman"/>
      <w:i/>
      <w:iCs/>
    </w:rPr>
  </w:style>
  <w:style w:type="character" w:styleId="lev">
    <w:name w:val="Strong"/>
    <w:basedOn w:val="Policepardfaut"/>
    <w:uiPriority w:val="22"/>
    <w:qFormat/>
    <w:rsid w:val="00056ED0"/>
    <w:rPr>
      <w:b/>
      <w:bCs/>
    </w:rPr>
  </w:style>
  <w:style w:type="character" w:styleId="Lienhypertexte">
    <w:name w:val="Hyperlink"/>
    <w:basedOn w:val="Policepardfaut"/>
    <w:uiPriority w:val="99"/>
    <w:semiHidden/>
    <w:unhideWhenUsed/>
    <w:rsid w:val="00C7417D"/>
    <w:rPr>
      <w:color w:val="0000FF"/>
      <w:u w:val="single"/>
    </w:rPr>
  </w:style>
  <w:style w:type="paragraph" w:styleId="NormalWeb">
    <w:name w:val="Normal (Web)"/>
    <w:basedOn w:val="Normal"/>
    <w:uiPriority w:val="99"/>
    <w:semiHidden/>
    <w:unhideWhenUsed/>
    <w:rsid w:val="00C02C06"/>
    <w:pPr>
      <w:spacing w:before="100" w:beforeAutospacing="1" w:after="100" w:afterAutospacing="1"/>
    </w:pPr>
    <w:rPr>
      <w:rFonts w:ascii="Times" w:eastAsiaTheme="minorEastAsia" w:hAnsi="Times"/>
      <w:sz w:val="20"/>
      <w:szCs w:val="20"/>
      <w:lang w:val="fr-BE"/>
    </w:rPr>
  </w:style>
  <w:style w:type="paragraph" w:customStyle="1" w:styleId="JuPara">
    <w:name w:val="Ju_Para"/>
    <w:aliases w:val="Left,First line:  0 cm"/>
    <w:basedOn w:val="Normal"/>
    <w:rsid w:val="0042552E"/>
    <w:pPr>
      <w:suppressAutoHyphens/>
      <w:ind w:firstLine="284"/>
      <w:jc w:val="both"/>
    </w:pPr>
    <w:rPr>
      <w:szCs w:val="20"/>
    </w:rPr>
  </w:style>
  <w:style w:type="paragraph" w:styleId="En-tte">
    <w:name w:val="header"/>
    <w:basedOn w:val="Normal"/>
    <w:link w:val="En-tteCar"/>
    <w:uiPriority w:val="99"/>
    <w:unhideWhenUsed/>
    <w:rsid w:val="004E57BD"/>
    <w:pPr>
      <w:tabs>
        <w:tab w:val="center" w:pos="4536"/>
        <w:tab w:val="right" w:pos="9072"/>
      </w:tabs>
    </w:pPr>
  </w:style>
  <w:style w:type="character" w:customStyle="1" w:styleId="En-tteCar">
    <w:name w:val="En-tête Car"/>
    <w:basedOn w:val="Policepardfaut"/>
    <w:link w:val="En-tte"/>
    <w:uiPriority w:val="99"/>
    <w:rsid w:val="004E57BD"/>
    <w:rPr>
      <w:rFonts w:ascii="Times New Roman" w:eastAsia="Times New Roman" w:hAnsi="Times New Roman" w:cs="Times New Roman"/>
      <w:sz w:val="24"/>
      <w:szCs w:val="24"/>
    </w:rPr>
  </w:style>
  <w:style w:type="character" w:customStyle="1" w:styleId="sb8d990e2">
    <w:name w:val="sb8d990e2"/>
    <w:basedOn w:val="Policepardfaut"/>
    <w:rsid w:val="00791986"/>
  </w:style>
  <w:style w:type="character" w:customStyle="1" w:styleId="sea881cdf">
    <w:name w:val="sea881cdf"/>
    <w:basedOn w:val="Policepardfaut"/>
    <w:rsid w:val="00791986"/>
  </w:style>
</w:styles>
</file>

<file path=word/webSettings.xml><?xml version="1.0" encoding="utf-8"?>
<w:webSettings xmlns:r="http://schemas.openxmlformats.org/officeDocument/2006/relationships" xmlns:w="http://schemas.openxmlformats.org/wordprocessingml/2006/main">
  <w:divs>
    <w:div w:id="602305990">
      <w:bodyDiv w:val="1"/>
      <w:marLeft w:val="0"/>
      <w:marRight w:val="0"/>
      <w:marTop w:val="0"/>
      <w:marBottom w:val="0"/>
      <w:divBdr>
        <w:top w:val="none" w:sz="0" w:space="0" w:color="auto"/>
        <w:left w:val="none" w:sz="0" w:space="0" w:color="auto"/>
        <w:bottom w:val="none" w:sz="0" w:space="0" w:color="auto"/>
        <w:right w:val="none" w:sz="0" w:space="0" w:color="auto"/>
      </w:divBdr>
    </w:div>
    <w:div w:id="1791318032">
      <w:bodyDiv w:val="1"/>
      <w:marLeft w:val="0"/>
      <w:marRight w:val="0"/>
      <w:marTop w:val="0"/>
      <w:marBottom w:val="0"/>
      <w:divBdr>
        <w:top w:val="none" w:sz="0" w:space="0" w:color="auto"/>
        <w:left w:val="none" w:sz="0" w:space="0" w:color="auto"/>
        <w:bottom w:val="none" w:sz="0" w:space="0" w:color="auto"/>
        <w:right w:val="none" w:sz="0" w:space="0" w:color="auto"/>
      </w:divBdr>
      <w:divsChild>
        <w:div w:id="131023140">
          <w:marLeft w:val="0"/>
          <w:marRight w:val="0"/>
          <w:marTop w:val="0"/>
          <w:marBottom w:val="0"/>
          <w:divBdr>
            <w:top w:val="none" w:sz="0" w:space="0" w:color="auto"/>
            <w:left w:val="none" w:sz="0" w:space="0" w:color="auto"/>
            <w:bottom w:val="none" w:sz="0" w:space="0" w:color="auto"/>
            <w:right w:val="none" w:sz="0" w:space="0" w:color="auto"/>
          </w:divBdr>
        </w:div>
        <w:div w:id="443888263">
          <w:marLeft w:val="0"/>
          <w:marRight w:val="0"/>
          <w:marTop w:val="0"/>
          <w:marBottom w:val="0"/>
          <w:divBdr>
            <w:top w:val="none" w:sz="0" w:space="0" w:color="auto"/>
            <w:left w:val="none" w:sz="0" w:space="0" w:color="auto"/>
            <w:bottom w:val="none" w:sz="0" w:space="0" w:color="auto"/>
            <w:right w:val="none" w:sz="0" w:space="0" w:color="auto"/>
          </w:divBdr>
        </w:div>
        <w:div w:id="11341021">
          <w:marLeft w:val="0"/>
          <w:marRight w:val="0"/>
          <w:marTop w:val="0"/>
          <w:marBottom w:val="0"/>
          <w:divBdr>
            <w:top w:val="none" w:sz="0" w:space="0" w:color="auto"/>
            <w:left w:val="none" w:sz="0" w:space="0" w:color="auto"/>
            <w:bottom w:val="none" w:sz="0" w:space="0" w:color="auto"/>
            <w:right w:val="none" w:sz="0" w:space="0" w:color="auto"/>
          </w:divBdr>
        </w:div>
        <w:div w:id="416635360">
          <w:marLeft w:val="0"/>
          <w:marRight w:val="0"/>
          <w:marTop w:val="0"/>
          <w:marBottom w:val="0"/>
          <w:divBdr>
            <w:top w:val="none" w:sz="0" w:space="0" w:color="auto"/>
            <w:left w:val="none" w:sz="0" w:space="0" w:color="auto"/>
            <w:bottom w:val="none" w:sz="0" w:space="0" w:color="auto"/>
            <w:right w:val="none" w:sz="0" w:space="0" w:color="auto"/>
          </w:divBdr>
        </w:div>
        <w:div w:id="205527948">
          <w:marLeft w:val="0"/>
          <w:marRight w:val="0"/>
          <w:marTop w:val="0"/>
          <w:marBottom w:val="0"/>
          <w:divBdr>
            <w:top w:val="none" w:sz="0" w:space="0" w:color="auto"/>
            <w:left w:val="none" w:sz="0" w:space="0" w:color="auto"/>
            <w:bottom w:val="none" w:sz="0" w:space="0" w:color="auto"/>
            <w:right w:val="none" w:sz="0" w:space="0" w:color="auto"/>
          </w:divBdr>
        </w:div>
        <w:div w:id="1513567732">
          <w:marLeft w:val="0"/>
          <w:marRight w:val="0"/>
          <w:marTop w:val="0"/>
          <w:marBottom w:val="0"/>
          <w:divBdr>
            <w:top w:val="none" w:sz="0" w:space="0" w:color="auto"/>
            <w:left w:val="none" w:sz="0" w:space="0" w:color="auto"/>
            <w:bottom w:val="none" w:sz="0" w:space="0" w:color="auto"/>
            <w:right w:val="none" w:sz="0" w:space="0" w:color="auto"/>
          </w:divBdr>
        </w:div>
        <w:div w:id="1474056697">
          <w:marLeft w:val="0"/>
          <w:marRight w:val="0"/>
          <w:marTop w:val="0"/>
          <w:marBottom w:val="0"/>
          <w:divBdr>
            <w:top w:val="none" w:sz="0" w:space="0" w:color="auto"/>
            <w:left w:val="none" w:sz="0" w:space="0" w:color="auto"/>
            <w:bottom w:val="none" w:sz="0" w:space="0" w:color="auto"/>
            <w:right w:val="none" w:sz="0" w:space="0" w:color="auto"/>
          </w:divBdr>
        </w:div>
      </w:divsChild>
    </w:div>
    <w:div w:id="19404874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2234</Words>
  <Characters>12291</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B</dc:creator>
  <cp:lastModifiedBy>Admin</cp:lastModifiedBy>
  <cp:revision>2</cp:revision>
  <cp:lastPrinted>2015-03-20T10:59:00Z</cp:lastPrinted>
  <dcterms:created xsi:type="dcterms:W3CDTF">2015-09-10T10:48:00Z</dcterms:created>
  <dcterms:modified xsi:type="dcterms:W3CDTF">2015-09-10T10:48:00Z</dcterms:modified>
</cp:coreProperties>
</file>